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pict>
          <v:group style="position:absolute;margin-left:56.692001pt;margin-top:5.604866pt;width:481.9pt;height:96.4pt;mso-position-horizontal-relative:page;mso-position-vertical-relative:paragraph;z-index:-9616" coordorigin="1134,112" coordsize="9638,1928">
            <v:shape style="position:absolute;left:1133;top:112;width:9638;height:1928" type="#_x0000_t75" stroked="false">
              <v:imagedata r:id="rId6" o:title=""/>
            </v:shape>
            <v:rect style="position:absolute;left:7512;top:837;width:3068;height:1059" filled="true" fillcolor="#231f20" stroked="false">
              <v:fill opacity="55705f" type="solid"/>
            </v:rect>
            <w10:wrap type="none"/>
          </v:group>
        </w:pict>
      </w:r>
      <w:r>
        <w:rPr>
          <w:b/>
          <w:color w:val="231F20"/>
          <w:w w:val="105"/>
          <w:sz w:val="38"/>
        </w:rPr>
        <w:t>teacher guide</w:t>
      </w:r>
    </w:p>
    <w:p>
      <w:pPr>
        <w:pStyle w:val="BodyText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spacing w:before="289"/>
        <w:ind w:left="1748" w:right="0" w:firstLine="0"/>
        <w:jc w:val="left"/>
        <w:rPr>
          <w:b/>
          <w:sz w:val="36"/>
        </w:rPr>
      </w:pPr>
      <w:r>
        <w:rPr>
          <w:b/>
          <w:color w:val="FFFFFF"/>
          <w:spacing w:val="-13"/>
          <w:sz w:val="36"/>
        </w:rPr>
        <w:t>Water</w:t>
      </w:r>
      <w:r>
        <w:rPr>
          <w:b/>
          <w:color w:val="FFFFFF"/>
          <w:sz w:val="36"/>
        </w:rPr>
        <w:t> </w:t>
      </w:r>
      <w:r>
        <w:rPr>
          <w:b/>
          <w:color w:val="FFFFFF"/>
          <w:spacing w:val="-6"/>
          <w:sz w:val="36"/>
        </w:rPr>
        <w:t>2:</w:t>
      </w:r>
    </w:p>
    <w:p>
      <w:pPr>
        <w:spacing w:before="163"/>
        <w:ind w:left="113" w:right="0" w:firstLine="0"/>
        <w:jc w:val="left"/>
        <w:rPr>
          <w:b/>
          <w:sz w:val="48"/>
        </w:rPr>
      </w:pPr>
      <w:r>
        <w:rPr>
          <w:b/>
          <w:color w:val="FFFFFF"/>
          <w:spacing w:val="-18"/>
          <w:w w:val="95"/>
          <w:sz w:val="48"/>
        </w:rPr>
        <w:t>Water</w:t>
      </w:r>
      <w:r>
        <w:rPr>
          <w:b/>
          <w:color w:val="FFFFFF"/>
          <w:spacing w:val="32"/>
          <w:w w:val="95"/>
          <w:sz w:val="48"/>
        </w:rPr>
        <w:t> </w:t>
      </w:r>
      <w:r>
        <w:rPr>
          <w:b/>
          <w:color w:val="FFFFFF"/>
          <w:spacing w:val="-16"/>
          <w:w w:val="95"/>
          <w:sz w:val="48"/>
        </w:rPr>
        <w:t>sources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pgNumType w:start="1"/>
          <w:cols w:num="2" w:equalWidth="0">
            <w:col w:w="2724" w:space="3664"/>
            <w:col w:w="3482"/>
          </w:cols>
        </w:sectPr>
      </w:pPr>
    </w:p>
    <w:p>
      <w:pPr>
        <w:pStyle w:val="BodyText"/>
        <w:spacing w:before="2"/>
        <w:rPr>
          <w:b/>
          <w:sz w:val="21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Water</w:t>
            </w:r>
            <w:r>
              <w:rPr>
                <w:i/>
                <w:color w:val="231F20"/>
                <w:spacing w:val="-35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sources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2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guide explains use of the learning object about water sources and schemes in Western Australia.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Where’s our water?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learning object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5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schemes in Western Australia. Students will use it to extract information for 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report.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left="79" w:right="641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Investigating water sources</w:t>
            </w:r>
          </w:p>
          <w:p>
            <w:pPr>
              <w:pStyle w:val="TableParagraph"/>
              <w:spacing w:before="115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2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template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structure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 information gathering from the learning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24"/>
        <w:ind w:left="113" w:right="28"/>
      </w:pPr>
      <w:r>
        <w:rPr>
          <w:color w:val="231F20"/>
          <w:w w:val="110"/>
        </w:rPr>
        <w:t>Students</w:t>
      </w:r>
      <w:r>
        <w:rPr>
          <w:color w:val="231F20"/>
          <w:spacing w:val="-29"/>
          <w:w w:val="110"/>
        </w:rPr>
        <w:t> </w:t>
      </w:r>
      <w:r>
        <w:rPr>
          <w:b/>
          <w:color w:val="231F20"/>
          <w:w w:val="110"/>
        </w:rPr>
        <w:t>Explore</w:t>
      </w:r>
      <w:r>
        <w:rPr>
          <w:b/>
          <w:color w:val="231F20"/>
          <w:spacing w:val="-29"/>
          <w:w w:val="110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sources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 supply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areas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before="7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1"/>
      </w:pPr>
      <w:r>
        <w:rPr>
          <w:color w:val="231F20"/>
          <w:w w:val="105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536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</w:t>
      </w:r>
      <w:r>
        <w:rPr>
          <w:color w:val="231F20"/>
          <w:spacing w:val="-5"/>
          <w:w w:val="110"/>
          <w:sz w:val="18"/>
        </w:rPr>
        <w:t>WA’s </w:t>
      </w:r>
      <w:r>
        <w:rPr>
          <w:color w:val="231F20"/>
          <w:w w:val="110"/>
          <w:sz w:val="18"/>
        </w:rPr>
        <w:t>drinking water supply comes from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variety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sources,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relies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different technologies;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79" w:hanging="170"/>
        <w:jc w:val="left"/>
        <w:rPr>
          <w:sz w:val="18"/>
        </w:rPr>
      </w:pPr>
      <w:r>
        <w:rPr>
          <w:color w:val="231F20"/>
          <w:w w:val="115"/>
          <w:sz w:val="18"/>
        </w:rPr>
        <w:t>understand</w:t>
      </w:r>
      <w:r>
        <w:rPr>
          <w:color w:val="231F20"/>
          <w:spacing w:val="-38"/>
          <w:w w:val="115"/>
          <w:sz w:val="18"/>
        </w:rPr>
        <w:t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37"/>
          <w:w w:val="115"/>
          <w:sz w:val="18"/>
        </w:rPr>
        <w:t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38"/>
          <w:w w:val="115"/>
          <w:sz w:val="18"/>
        </w:rPr>
        <w:t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37"/>
          <w:w w:val="115"/>
          <w:sz w:val="18"/>
        </w:rPr>
        <w:t> </w:t>
      </w:r>
      <w:r>
        <w:rPr>
          <w:color w:val="231F20"/>
          <w:w w:val="115"/>
          <w:sz w:val="18"/>
        </w:rPr>
        <w:t>range</w:t>
      </w:r>
      <w:r>
        <w:rPr>
          <w:color w:val="231F20"/>
          <w:spacing w:val="-38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7"/>
          <w:w w:val="115"/>
          <w:sz w:val="18"/>
        </w:rPr>
        <w:t> </w:t>
      </w:r>
      <w:r>
        <w:rPr>
          <w:color w:val="231F20"/>
          <w:w w:val="115"/>
          <w:sz w:val="18"/>
        </w:rPr>
        <w:t>factors,</w:t>
      </w:r>
      <w:r>
        <w:rPr>
          <w:color w:val="231F20"/>
          <w:spacing w:val="-38"/>
          <w:w w:val="115"/>
          <w:sz w:val="18"/>
        </w:rPr>
        <w:t> </w:t>
      </w:r>
      <w:r>
        <w:rPr>
          <w:color w:val="231F20"/>
          <w:w w:val="115"/>
          <w:sz w:val="18"/>
        </w:rPr>
        <w:t>including climate, geology and population, that influence availability</w:t>
      </w:r>
      <w:r>
        <w:rPr>
          <w:color w:val="231F20"/>
          <w:spacing w:val="-26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6"/>
          <w:w w:val="115"/>
          <w:sz w:val="18"/>
        </w:rPr>
        <w:t> </w:t>
      </w:r>
      <w:r>
        <w:rPr>
          <w:color w:val="231F20"/>
          <w:spacing w:val="2"/>
          <w:w w:val="115"/>
          <w:sz w:val="18"/>
        </w:rPr>
        <w:t>type</w:t>
      </w:r>
      <w:r>
        <w:rPr>
          <w:color w:val="231F20"/>
          <w:spacing w:val="-25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6"/>
          <w:w w:val="115"/>
          <w:sz w:val="18"/>
        </w:rPr>
        <w:t> </w:t>
      </w:r>
      <w:r>
        <w:rPr>
          <w:color w:val="231F20"/>
          <w:w w:val="115"/>
          <w:sz w:val="18"/>
        </w:rPr>
        <w:t>water</w:t>
      </w:r>
      <w:r>
        <w:rPr>
          <w:color w:val="231F20"/>
          <w:spacing w:val="-26"/>
          <w:w w:val="115"/>
          <w:sz w:val="18"/>
        </w:rPr>
        <w:t> </w:t>
      </w:r>
      <w:r>
        <w:rPr>
          <w:color w:val="231F20"/>
          <w:w w:val="115"/>
          <w:sz w:val="18"/>
        </w:rPr>
        <w:t>source</w:t>
      </w:r>
      <w:r>
        <w:rPr>
          <w:color w:val="231F20"/>
          <w:spacing w:val="-25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26"/>
          <w:w w:val="115"/>
          <w:sz w:val="18"/>
        </w:rPr>
        <w:t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26"/>
          <w:w w:val="115"/>
          <w:sz w:val="18"/>
        </w:rPr>
        <w:t> </w:t>
      </w:r>
      <w:r>
        <w:rPr>
          <w:color w:val="231F20"/>
          <w:w w:val="115"/>
          <w:sz w:val="18"/>
        </w:rPr>
        <w:t>region;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66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realise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requires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treatment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when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leaves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 returns to the water cycle, that is, before and after human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use;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651" w:hanging="170"/>
        <w:jc w:val="left"/>
        <w:rPr>
          <w:sz w:val="18"/>
        </w:rPr>
      </w:pPr>
      <w:r>
        <w:rPr>
          <w:color w:val="231F20"/>
          <w:w w:val="110"/>
          <w:sz w:val="18"/>
        </w:rPr>
        <w:t>analyse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collate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text,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graphical,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tabular information;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49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communicate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understanding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meaningful visual form using digital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media.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810" w:space="128"/>
            <w:col w:w="4932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7"/>
      </w:pPr>
      <w:r>
        <w:rPr>
          <w:color w:val="231F20"/>
          <w:w w:val="110"/>
        </w:rPr>
        <w:t>Activity summary</w:t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73"/>
              <w:jc w:val="both"/>
              <w:rPr>
                <w:i/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choose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town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 by collecting a range of relevant information from the learning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object, </w:t>
            </w:r>
            <w:r>
              <w:rPr>
                <w:i/>
                <w:color w:val="231F20"/>
                <w:w w:val="110"/>
                <w:sz w:val="18"/>
              </w:rPr>
              <w:t>Where’s our</w:t>
            </w:r>
            <w:r>
              <w:rPr>
                <w:i/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water?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prepare a presentation of information they’ve collected (e g poster, power point, iBook …). See </w:t>
            </w:r>
            <w:r>
              <w:rPr>
                <w:b/>
                <w:color w:val="231F20"/>
                <w:w w:val="105"/>
                <w:sz w:val="18"/>
              </w:rPr>
              <w:t>Teacher notes </w:t>
            </w:r>
            <w:r>
              <w:rPr>
                <w:color w:val="231F20"/>
                <w:w w:val="105"/>
                <w:sz w:val="18"/>
              </w:rPr>
              <w:t>below for guidance.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present to the whole class.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71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Teacher notes</w:t>
      </w:r>
    </w:p>
    <w:p>
      <w:pPr>
        <w:spacing w:before="139"/>
        <w:ind w:left="113" w:right="0" w:firstLine="0"/>
        <w:jc w:val="left"/>
        <w:rPr>
          <w:rFonts w:ascii="Arial-BoldItalicMT" w:hAnsi="Arial-BoldItalicMT"/>
          <w:b/>
          <w:i/>
          <w:sz w:val="18"/>
        </w:rPr>
      </w:pPr>
      <w:r>
        <w:rPr>
          <w:b/>
          <w:color w:val="231F20"/>
          <w:sz w:val="18"/>
        </w:rPr>
        <w:t>Background to </w:t>
      </w:r>
      <w:r>
        <w:rPr>
          <w:rFonts w:ascii="Arial-BoldItalicMT" w:hAnsi="Arial-BoldItalicMT"/>
          <w:b/>
          <w:i/>
          <w:color w:val="231F20"/>
          <w:sz w:val="18"/>
        </w:rPr>
        <w:t>Where’s our water?</w:t>
      </w:r>
    </w:p>
    <w:p>
      <w:pPr>
        <w:pStyle w:val="BodyText"/>
        <w:spacing w:line="249" w:lineRule="auto" w:before="122"/>
        <w:ind w:left="113" w:right="175"/>
      </w:pPr>
      <w:r>
        <w:rPr>
          <w:color w:val="231F20"/>
          <w:w w:val="110"/>
        </w:rPr>
        <w:t>The learning object presents information on water supply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schemes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seven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towns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local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areas. Information is presented in sections that relate to the anthropometric water cycle and is in a variety of relevant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formats.</w:t>
      </w:r>
    </w:p>
    <w:p>
      <w:pPr>
        <w:pStyle w:val="BodyText"/>
        <w:spacing w:line="249" w:lineRule="auto" w:before="117"/>
        <w:ind w:left="113" w:right="24"/>
      </w:pPr>
      <w:r>
        <w:rPr>
          <w:color w:val="231F20"/>
          <w:w w:val="115"/>
        </w:rPr>
        <w:t>Working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small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groups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students</w:t>
      </w:r>
      <w:r>
        <w:rPr>
          <w:color w:val="231F20"/>
          <w:spacing w:val="-39"/>
          <w:w w:val="115"/>
        </w:rPr>
        <w:t> </w:t>
      </w:r>
      <w:r>
        <w:rPr>
          <w:color w:val="231F20"/>
          <w:w w:val="115"/>
        </w:rPr>
        <w:t>need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navigate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the learning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object,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interpret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information,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distil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what is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relevant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re-present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rest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class.</w:t>
      </w:r>
    </w:p>
    <w:p>
      <w:pPr>
        <w:pStyle w:val="BodyText"/>
        <w:spacing w:line="249" w:lineRule="auto" w:before="116"/>
        <w:ind w:left="113" w:right="211"/>
      </w:pPr>
      <w:r>
        <w:rPr>
          <w:color w:val="231F20"/>
          <w:w w:val="110"/>
        </w:rPr>
        <w:t>If different groups look at different towns (supply schemes) then an understanding of different </w:t>
      </w:r>
      <w:r>
        <w:rPr>
          <w:color w:val="231F20"/>
          <w:spacing w:val="2"/>
          <w:w w:val="110"/>
        </w:rPr>
        <w:t>types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schemes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regional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areas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different climate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bands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Australia,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achieved.</w:t>
      </w:r>
    </w:p>
    <w:p>
      <w:pPr>
        <w:pStyle w:val="BodyText"/>
        <w:spacing w:line="249" w:lineRule="auto" w:before="116"/>
        <w:ind w:left="113" w:right="163"/>
      </w:pPr>
      <w:r>
        <w:rPr>
          <w:color w:val="231F20"/>
          <w:w w:val="110"/>
        </w:rPr>
        <w:t>Water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supply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schemes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included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object are: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15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Kununurra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West Pilbara, represented by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Karratha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Geraldton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Laverton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363" w:hanging="170"/>
        <w:jc w:val="left"/>
        <w:rPr>
          <w:sz w:val="18"/>
        </w:rPr>
      </w:pPr>
      <w:r>
        <w:rPr>
          <w:color w:val="231F20"/>
          <w:w w:val="105"/>
          <w:sz w:val="18"/>
        </w:rPr>
        <w:t>Integrated Water Supply Scheme, represented by Perth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Margaret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River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204" w:hanging="170"/>
        <w:jc w:val="left"/>
        <w:rPr>
          <w:sz w:val="18"/>
        </w:rPr>
      </w:pPr>
      <w:r>
        <w:rPr>
          <w:color w:val="231F20"/>
          <w:w w:val="105"/>
          <w:sz w:val="18"/>
        </w:rPr>
        <w:t>Lower Great Southern Supply Scheme,</w:t>
      </w:r>
      <w:r>
        <w:rPr>
          <w:color w:val="231F20"/>
          <w:spacing w:val="-34"/>
          <w:w w:val="105"/>
          <w:sz w:val="18"/>
        </w:rPr>
        <w:t> </w:t>
      </w:r>
      <w:r>
        <w:rPr>
          <w:color w:val="231F20"/>
          <w:w w:val="105"/>
          <w:sz w:val="18"/>
        </w:rPr>
        <w:t>represented by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Albany</w:t>
      </w:r>
    </w:p>
    <w:p>
      <w:pPr>
        <w:pStyle w:val="BodyText"/>
        <w:spacing w:line="249" w:lineRule="auto" w:before="58"/>
        <w:ind w:left="113" w:right="307"/>
      </w:pPr>
      <w:r>
        <w:rPr>
          <w:color w:val="231F20"/>
          <w:w w:val="110"/>
        </w:rPr>
        <w:t>Each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scheme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area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introductory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screen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 brief description and an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image.</w:t>
      </w:r>
    </w:p>
    <w:p>
      <w:pPr>
        <w:pStyle w:val="BodyText"/>
        <w:spacing w:line="249" w:lineRule="auto" w:before="115"/>
        <w:ind w:left="113" w:right="54"/>
      </w:pPr>
      <w:r>
        <w:rPr>
          <w:color w:val="231F20"/>
          <w:w w:val="110"/>
        </w:rPr>
        <w:t>Use the structured data collection worksheet, </w:t>
      </w:r>
      <w:r>
        <w:rPr>
          <w:i/>
          <w:color w:val="231F20"/>
          <w:w w:val="110"/>
        </w:rPr>
        <w:t>Investigating</w:t>
      </w:r>
      <w:r>
        <w:rPr>
          <w:i/>
          <w:color w:val="231F20"/>
          <w:spacing w:val="-18"/>
          <w:w w:val="110"/>
        </w:rPr>
        <w:t> </w:t>
      </w:r>
      <w:r>
        <w:rPr>
          <w:i/>
          <w:color w:val="231F20"/>
          <w:w w:val="110"/>
        </w:rPr>
        <w:t>water</w:t>
      </w:r>
      <w:r>
        <w:rPr>
          <w:i/>
          <w:color w:val="231F20"/>
          <w:spacing w:val="-17"/>
          <w:w w:val="110"/>
        </w:rPr>
        <w:t> </w:t>
      </w:r>
      <w:r>
        <w:rPr>
          <w:i/>
          <w:color w:val="231F20"/>
          <w:w w:val="110"/>
        </w:rPr>
        <w:t>sources</w:t>
      </w:r>
      <w:r>
        <w:rPr>
          <w:color w:val="231F20"/>
          <w:w w:val="110"/>
        </w:rPr>
        <w:t>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think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need a template to investigate the 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object.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13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Creating a presentation</w:t>
      </w:r>
    </w:p>
    <w:p>
      <w:pPr>
        <w:pStyle w:val="BodyText"/>
        <w:spacing w:line="249" w:lineRule="auto" w:before="122"/>
        <w:ind w:left="113" w:right="266"/>
      </w:pPr>
      <w:r>
        <w:rPr>
          <w:color w:val="231F20"/>
          <w:w w:val="110"/>
        </w:rPr>
        <w:t>Students can use a program such as PowerPoint, Impress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2"/>
          <w:w w:val="110"/>
        </w:rPr>
        <w:t>(Open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3"/>
          <w:w w:val="110"/>
        </w:rPr>
        <w:t>Office),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Photoshop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iBook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Author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 put together a presentation of slides or a poster to present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rest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without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verbal presentation.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share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out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tasks.</w:t>
      </w:r>
    </w:p>
    <w:p>
      <w:pPr>
        <w:pStyle w:val="BodyText"/>
        <w:spacing w:line="249" w:lineRule="auto" w:before="117"/>
        <w:ind w:left="113" w:right="40"/>
      </w:pPr>
      <w:r>
        <w:rPr>
          <w:color w:val="231F20"/>
          <w:w w:val="110"/>
        </w:rPr>
        <w:t>Tips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share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creating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good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poster (or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slides).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5" w:after="0"/>
        <w:ind w:left="284" w:right="338" w:hanging="171"/>
        <w:jc w:val="left"/>
        <w:rPr>
          <w:sz w:val="18"/>
        </w:rPr>
      </w:pPr>
      <w:r>
        <w:rPr>
          <w:color w:val="231F20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poster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visual: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should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more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images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than </w:t>
      </w:r>
      <w:r>
        <w:rPr>
          <w:color w:val="231F20"/>
          <w:spacing w:val="2"/>
          <w:w w:val="110"/>
          <w:sz w:val="18"/>
        </w:rPr>
        <w:t>text.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4" w:right="615" w:hanging="171"/>
        <w:jc w:val="left"/>
        <w:rPr>
          <w:sz w:val="18"/>
        </w:rPr>
      </w:pPr>
      <w:r>
        <w:rPr>
          <w:color w:val="231F20"/>
          <w:w w:val="110"/>
          <w:sz w:val="18"/>
        </w:rPr>
        <w:t>Layout: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consider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your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background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borders. Space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around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text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makes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easier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read.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4" w:right="696" w:hanging="171"/>
        <w:jc w:val="left"/>
        <w:rPr>
          <w:sz w:val="18"/>
        </w:rPr>
      </w:pPr>
      <w:r>
        <w:rPr>
          <w:color w:val="231F20"/>
          <w:w w:val="110"/>
          <w:sz w:val="18"/>
        </w:rPr>
        <w:t>Readability: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break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up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space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out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text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using column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line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breaks,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bullet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points.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4" w:right="189" w:hanging="171"/>
        <w:jc w:val="left"/>
        <w:rPr>
          <w:sz w:val="18"/>
        </w:rPr>
      </w:pPr>
      <w:r>
        <w:rPr>
          <w:color w:val="231F20"/>
          <w:w w:val="110"/>
          <w:sz w:val="18"/>
        </w:rPr>
        <w:t>Readability: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make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fonts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big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enough.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g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70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point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for title, 24 point for normal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text.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4" w:right="299" w:hanging="171"/>
        <w:jc w:val="left"/>
        <w:rPr>
          <w:sz w:val="18"/>
        </w:rPr>
      </w:pPr>
      <w:r>
        <w:rPr>
          <w:color w:val="231F20"/>
          <w:w w:val="105"/>
          <w:sz w:val="18"/>
        </w:rPr>
        <w:t>Visual interest: consider the variety of graphics you can use such as </w:t>
      </w:r>
      <w:r>
        <w:rPr>
          <w:color w:val="231F20"/>
          <w:spacing w:val="2"/>
          <w:w w:val="105"/>
          <w:sz w:val="18"/>
        </w:rPr>
        <w:t>charts, </w:t>
      </w:r>
      <w:r>
        <w:rPr>
          <w:color w:val="231F20"/>
          <w:w w:val="105"/>
          <w:sz w:val="18"/>
        </w:rPr>
        <w:t>graphs, photos, maps and illustrations.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4" w:right="695" w:hanging="171"/>
        <w:jc w:val="both"/>
        <w:rPr>
          <w:sz w:val="18"/>
        </w:rPr>
      </w:pPr>
      <w:r>
        <w:rPr>
          <w:color w:val="231F20"/>
          <w:w w:val="105"/>
          <w:sz w:val="18"/>
        </w:rPr>
        <w:t>Consider integrating compatible digital media elements where possible, such as audio,</w:t>
      </w:r>
      <w:r>
        <w:rPr>
          <w:color w:val="231F20"/>
          <w:spacing w:val="-29"/>
          <w:w w:val="105"/>
          <w:sz w:val="18"/>
        </w:rPr>
        <w:t> </w:t>
      </w:r>
      <w:r>
        <w:rPr>
          <w:color w:val="231F20"/>
          <w:w w:val="105"/>
          <w:sz w:val="18"/>
        </w:rPr>
        <w:t>video, Google maps or other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apps.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4" w:right="459" w:hanging="171"/>
        <w:jc w:val="left"/>
        <w:rPr>
          <w:sz w:val="18"/>
        </w:rPr>
      </w:pPr>
      <w:r>
        <w:rPr>
          <w:color w:val="231F20"/>
          <w:w w:val="115"/>
          <w:sz w:val="18"/>
        </w:rPr>
        <w:t>Lay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it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out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so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logical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flow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like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reading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a book:</w:t>
      </w:r>
      <w:r>
        <w:rPr>
          <w:color w:val="231F20"/>
          <w:spacing w:val="-8"/>
          <w:w w:val="115"/>
          <w:sz w:val="18"/>
        </w:rPr>
        <w:t> </w:t>
      </w:r>
      <w:r>
        <w:rPr>
          <w:color w:val="231F20"/>
          <w:spacing w:val="2"/>
          <w:w w:val="115"/>
          <w:sz w:val="18"/>
        </w:rPr>
        <w:t>left</w:t>
      </w:r>
      <w:r>
        <w:rPr>
          <w:color w:val="231F20"/>
          <w:spacing w:val="-8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7"/>
          <w:w w:val="115"/>
          <w:sz w:val="18"/>
        </w:rPr>
        <w:t> </w:t>
      </w:r>
      <w:r>
        <w:rPr>
          <w:color w:val="231F20"/>
          <w:w w:val="115"/>
          <w:sz w:val="18"/>
        </w:rPr>
        <w:t>right</w:t>
      </w:r>
      <w:r>
        <w:rPr>
          <w:color w:val="231F20"/>
          <w:spacing w:val="-8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7"/>
          <w:w w:val="115"/>
          <w:sz w:val="18"/>
        </w:rPr>
        <w:t> </w:t>
      </w:r>
      <w:r>
        <w:rPr>
          <w:color w:val="231F20"/>
          <w:w w:val="115"/>
          <w:sz w:val="18"/>
        </w:rPr>
        <w:t>top</w:t>
      </w:r>
      <w:r>
        <w:rPr>
          <w:color w:val="231F20"/>
          <w:spacing w:val="-8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7"/>
          <w:w w:val="115"/>
          <w:sz w:val="18"/>
        </w:rPr>
        <w:t> </w:t>
      </w:r>
      <w:r>
        <w:rPr>
          <w:color w:val="231F20"/>
          <w:w w:val="115"/>
          <w:sz w:val="18"/>
        </w:rPr>
        <w:t>bottom.</w:t>
      </w:r>
    </w:p>
    <w:p>
      <w:pPr>
        <w:spacing w:after="0" w:line="249" w:lineRule="auto"/>
        <w:jc w:val="left"/>
        <w:rPr>
          <w:sz w:val="18"/>
        </w:rPr>
        <w:sectPr>
          <w:footerReference w:type="default" r:id="rId10"/>
          <w:pgSz w:w="11910" w:h="16840"/>
          <w:pgMar w:footer="1084" w:header="0" w:top="720" w:bottom="1280" w:left="1020" w:right="1020"/>
          <w:pgNumType w:start="2"/>
          <w:cols w:num="2" w:equalWidth="0">
            <w:col w:w="4821" w:space="118"/>
            <w:col w:w="493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05"/>
        </w:rPr>
        <w:t>The teachers guide and worksheet require Adobe Reader (version 5 or later), which is a free download from </w:t>
      </w:r>
      <w:hyperlink r:id="rId11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available in Microsoft Word format.</w:t>
      </w:r>
    </w:p>
    <w:p>
      <w:pPr>
        <w:pStyle w:val="BodyText"/>
        <w:spacing w:line="249" w:lineRule="auto" w:before="116"/>
        <w:ind w:left="113" w:right="343"/>
      </w:pP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requires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modern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browser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2"/>
          <w:w w:val="110"/>
        </w:rPr>
        <w:t>(eg </w:t>
      </w:r>
      <w:r>
        <w:rPr>
          <w:color w:val="231F20"/>
          <w:w w:val="110"/>
        </w:rPr>
        <w:t>Internet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Explorer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8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later,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Google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Chrome,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Safari</w:t>
      </w:r>
    </w:p>
    <w:p>
      <w:pPr>
        <w:pStyle w:val="BodyText"/>
        <w:spacing w:line="249" w:lineRule="auto" w:before="2"/>
        <w:ind w:left="113" w:right="74"/>
      </w:pPr>
      <w:r>
        <w:rPr>
          <w:color w:val="231F20"/>
          <w:w w:val="110"/>
        </w:rPr>
        <w:t>4.0+, Opera or Firefox). It can be placed on a web or file-server and run either locally or remotely in a web browser.</w:t>
      </w:r>
    </w:p>
    <w:p>
      <w:pPr>
        <w:pStyle w:val="BodyText"/>
        <w:spacing w:before="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1"/>
        <w:spacing w:before="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713"/>
      </w:pPr>
      <w:r>
        <w:rPr>
          <w:color w:val="231F20"/>
          <w:w w:val="110"/>
        </w:rPr>
        <w:t>Thanks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Emily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Rockwell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2"/>
          <w:w w:val="110"/>
        </w:rPr>
        <w:t>staff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Water Corporation,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especially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Andrew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Jones,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Andrew Crawford and Andy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Mason.</w:t>
      </w:r>
    </w:p>
    <w:p>
      <w:pPr>
        <w:pStyle w:val="BodyText"/>
        <w:spacing w:line="249" w:lineRule="auto" w:before="116"/>
        <w:ind w:left="113" w:right="398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207"/>
      </w:pPr>
      <w:r>
        <w:rPr>
          <w:color w:val="231F20"/>
          <w:w w:val="110"/>
        </w:rPr>
        <w:t>Production team: Designed and developed by the Centre for Learning Technology, The University of Western Australia. Production team: Jan Dook, Kate </w:t>
      </w:r>
      <w:r>
        <w:rPr>
          <w:color w:val="231F20"/>
          <w:spacing w:val="2"/>
          <w:w w:val="110"/>
        </w:rPr>
        <w:t>Vyvyan, </w:t>
      </w:r>
      <w:r>
        <w:rPr>
          <w:color w:val="231F20"/>
          <w:w w:val="110"/>
        </w:rPr>
        <w:t>Sally Harban, Bob Fitzpatrick, Anton Ball, </w:t>
      </w:r>
      <w:r>
        <w:rPr>
          <w:color w:val="231F20"/>
          <w:spacing w:val="2"/>
          <w:w w:val="110"/>
        </w:rPr>
        <w:t>Alwyn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Evans,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Hutton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Michael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Wheatley,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with thanks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Gull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Wendy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Sanderson.</w:t>
      </w:r>
    </w:p>
    <w:p>
      <w:pPr>
        <w:spacing w:before="113"/>
        <w:ind w:left="113" w:right="0" w:firstLine="0"/>
        <w:jc w:val="left"/>
        <w:rPr>
          <w:sz w:val="16"/>
        </w:rPr>
      </w:pPr>
      <w:r>
        <w:rPr>
          <w:color w:val="231F20"/>
          <w:w w:val="110"/>
          <w:sz w:val="16"/>
        </w:rPr>
        <w:t>banner image: ‘Color water drop’ by Worldizen,</w:t>
      </w:r>
    </w:p>
    <w:p>
      <w:pPr>
        <w:spacing w:line="249" w:lineRule="auto" w:before="8"/>
        <w:ind w:left="11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CC-BY-2.0, </w:t>
      </w:r>
      <w:hyperlink r:id="rId12">
        <w:r>
          <w:rPr>
            <w:color w:val="231F20"/>
            <w:w w:val="105"/>
            <w:sz w:val="16"/>
          </w:rPr>
          <w:t>www.flickr.com/photos/worldizen/4588801989/in/</w:t>
        </w:r>
      </w:hyperlink>
      <w:r>
        <w:rPr>
          <w:color w:val="231F20"/>
          <w:w w:val="105"/>
          <w:sz w:val="16"/>
        </w:rPr>
        <w:t> photostream/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1910" w:h="16840"/>
          <w:pgMar w:top="720" w:bottom="1280" w:left="1020" w:right="1020"/>
          <w:cols w:num="2" w:equalWidth="0">
            <w:col w:w="4799" w:space="139"/>
            <w:col w:w="4932"/>
          </w:cols>
        </w:sectPr>
      </w:pPr>
    </w:p>
    <w:p>
      <w:pPr>
        <w:pStyle w:val="Heading1"/>
        <w:spacing w:before="69"/>
        <w:ind w:left="100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00" w:right="5335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 w:right="5335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5281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00" w:right="5335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7518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00" w:right="6413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100"/>
      </w:pPr>
      <w:r>
        <w:rPr>
          <w:color w:val="231F20"/>
        </w:rPr>
        <w:t>Associated SPICE resources</w:t>
      </w:r>
    </w:p>
    <w:p>
      <w:pPr>
        <w:pStyle w:val="BodyText"/>
        <w:spacing w:line="249" w:lineRule="auto" w:before="106"/>
        <w:ind w:left="100" w:right="5335"/>
      </w:pPr>
      <w:r>
        <w:rPr>
          <w:i/>
          <w:color w:val="231F20"/>
          <w:w w:val="105"/>
        </w:rPr>
        <w:t>Water 2: Water sources </w:t>
      </w:r>
      <w:r>
        <w:rPr>
          <w:color w:val="231F20"/>
          <w:w w:val="105"/>
        </w:rPr>
        <w:t>may be used in conjunction with related SPICE resources to to teach the topic of water supplies in Western Australia.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(overview)</w:t>
            </w:r>
          </w:p>
          <w:p>
            <w:pPr>
              <w:pStyle w:val="TableParagraph"/>
              <w:spacing w:line="249" w:lineRule="auto" w:before="122"/>
              <w:ind w:right="1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used in teaching students about how Western Australia secures its water supply.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1: Finding water</w:t>
            </w:r>
          </w:p>
          <w:p>
            <w:pPr>
              <w:pStyle w:val="TableParagraph"/>
              <w:spacing w:line="249" w:lineRule="auto" w:before="122"/>
              <w:ind w:right="1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ideas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could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supplied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people living in Western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Water 2: Water sources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regions across Western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3: Water supply</w:t>
            </w:r>
          </w:p>
          <w:p>
            <w:pPr>
              <w:pStyle w:val="TableParagraph"/>
              <w:spacing w:line="249" w:lineRule="auto" w:before="122"/>
              <w:ind w:right="6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board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economic,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social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environmental factors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must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planning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sustainable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4: Recycling water</w:t>
            </w:r>
          </w:p>
          <w:p>
            <w:pPr>
              <w:pStyle w:val="TableParagraph"/>
              <w:spacing w:line="249" w:lineRule="auto" w:before="122"/>
              <w:ind w:right="43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Corporation’s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groundwater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replenishment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scheme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 conducting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background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survey.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pgSz w:w="11910" w:h="16840"/>
      <w:pgMar w:header="0" w:footer="1084" w:top="9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83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86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56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31.950pt;height:23.2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-3"/>
                    <w:sz w:val="12"/>
                  </w:rPr>
                  <w:t>ast1118 </w:t>
                </w:r>
                <w:r>
                  <w:rPr>
                    <w:color w:val="231F20"/>
                    <w:sz w:val="12"/>
                  </w:rPr>
                  <w:t>| Water 2: Water sources (teacher guide)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98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00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42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31.950pt;height:23.2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-3"/>
                    <w:sz w:val="12"/>
                  </w:rPr>
                  <w:t>ast1118 </w:t>
                </w:r>
                <w:r>
                  <w:rPr>
                    <w:color w:val="231F20"/>
                    <w:sz w:val="12"/>
                  </w:rPr>
                  <w:t>| Water 2: Water sources (teacher guide)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937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hyperlink" Target="http://www.adobe.com/" TargetMode="External"/><Relationship Id="rId12" Type="http://schemas.openxmlformats.org/officeDocument/2006/relationships/hyperlink" Target="http://www.flickr.com/photos/worldizen/4588801989/in/" TargetMode="External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2020-03-31T03:43:29Z</dcterms:created>
  <dcterms:modified xsi:type="dcterms:W3CDTF">2020-03-31T03:43:29Z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