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1.9pt;height:100.75pt;mso-position-horizontal-relative:char;mso-position-vertical-relative:line" coordorigin="0,0" coordsize="9638,2015">
            <v:shape style="position:absolute;left:0;top:37;width:9638;height:1928" type="#_x0000_t75" stroked="false">
              <v:imagedata r:id="rId6" o:title=""/>
            </v:shape>
            <v:shape style="position:absolute;left:0;top:0;width:9638;height:1966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38"/>
                      </w:rPr>
                      <w:t>teachers guide</w:t>
                    </w:r>
                  </w:p>
                </w:txbxContent>
              </v:textbox>
              <w10:wrap type="none"/>
            </v:shape>
            <v:shape style="position:absolute;left:3650;top:718;width:5897;height:1296" type="#_x0000_t202" filled="true" fillcolor="#231f20" stroked="false">
              <v:textbox inset="0,0,0,0">
                <w:txbxContent>
                  <w:p>
                    <w:pPr>
                      <w:spacing w:line="374" w:lineRule="exact" w:before="0"/>
                      <w:ind w:left="2261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pacing w:val="-12"/>
                        <w:sz w:val="36"/>
                      </w:rPr>
                      <w:t>Geothermal </w:t>
                    </w:r>
                    <w:r>
                      <w:rPr>
                        <w:b/>
                        <w:color w:val="FFFFFF"/>
                        <w:spacing w:val="-11"/>
                        <w:sz w:val="36"/>
                      </w:rPr>
                      <w:t>energy</w:t>
                    </w:r>
                    <w:r>
                      <w:rPr>
                        <w:b/>
                        <w:color w:val="FFFFFF"/>
                        <w:spacing w:val="-42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36"/>
                      </w:rPr>
                      <w:t>4:</w:t>
                    </w:r>
                  </w:p>
                  <w:p>
                    <w:pPr>
                      <w:spacing w:before="167"/>
                      <w:ind w:left="4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pacing w:val="-17"/>
                        <w:w w:val="95"/>
                        <w:sz w:val="48"/>
                      </w:rPr>
                      <w:t>Sustainable  </w:t>
                    </w:r>
                    <w:r>
                      <w:rPr>
                        <w:b/>
                        <w:color w:val="FFFFFF"/>
                        <w:spacing w:val="-15"/>
                        <w:w w:val="95"/>
                        <w:sz w:val="48"/>
                      </w:rPr>
                      <w:t>energy</w:t>
                    </w:r>
                    <w:r>
                      <w:rPr>
                        <w:b/>
                        <w:color w:val="FFFFFF"/>
                        <w:spacing w:val="-61"/>
                        <w:w w:val="95"/>
                        <w:sz w:val="48"/>
                      </w:rPr>
                      <w:t> </w:t>
                    </w:r>
                    <w:r>
                      <w:rPr>
                        <w:b/>
                        <w:color w:val="FFFFFF"/>
                        <w:spacing w:val="-16"/>
                        <w:w w:val="95"/>
                        <w:sz w:val="48"/>
                      </w:rPr>
                      <w:t>sources</w:t>
                    </w:r>
                  </w:p>
                </w:txbxContent>
              </v:textbox>
              <v:fill opacity="53084f"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6"/>
        </w:rPr>
      </w:pPr>
    </w:p>
    <w:p>
      <w:pPr>
        <w:pStyle w:val="Heading1"/>
        <w:spacing w:before="99"/>
        <w:ind w:left="113"/>
      </w:pPr>
      <w:r>
        <w:rPr>
          <w:color w:val="231F20"/>
          <w:w w:val="105"/>
        </w:rPr>
        <w:t>Components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1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5"/>
        <w:gridCol w:w="2401"/>
        <w:gridCol w:w="5302"/>
        <w:gridCol w:w="1135"/>
      </w:tblGrid>
      <w:tr>
        <w:trPr>
          <w:trHeight w:val="295" w:hRule="atLeast"/>
        </w:trPr>
        <w:tc>
          <w:tcPr>
            <w:tcW w:w="79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4"/>
              <w:rPr>
                <w:sz w:val="18"/>
              </w:rPr>
            </w:pPr>
            <w:r>
              <w:rPr>
                <w:color w:val="FFFFFF"/>
                <w:sz w:val="18"/>
              </w:rPr>
              <w:t>NAME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4"/>
              <w:rPr>
                <w:sz w:val="18"/>
              </w:rPr>
            </w:pPr>
            <w:r>
              <w:rPr>
                <w:color w:val="FFFFFF"/>
                <w:sz w:val="18"/>
              </w:rPr>
              <w:t>DESCRIPTION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3"/>
              <w:rPr>
                <w:sz w:val="18"/>
              </w:rPr>
            </w:pPr>
            <w:r>
              <w:rPr>
                <w:color w:val="FFFFFF"/>
                <w:sz w:val="18"/>
              </w:rPr>
              <w:t>AUDIENCE</w:t>
            </w:r>
          </w:p>
        </w:tc>
      </w:tr>
      <w:tr>
        <w:trPr>
          <w:trHeight w:val="835" w:hRule="atLeast"/>
        </w:trPr>
        <w:tc>
          <w:tcPr>
            <w:tcW w:w="795" w:type="dxa"/>
            <w:shd w:val="clear" w:color="auto" w:fill="D1D3D4"/>
          </w:tcPr>
          <w:p>
            <w:pPr>
              <w:pStyle w:val="TableParagraph"/>
              <w:spacing w:before="6"/>
              <w:ind w:left="0"/>
              <w:rPr>
                <w:sz w:val="6"/>
              </w:rPr>
            </w:pPr>
          </w:p>
          <w:p>
            <w:pPr>
              <w:pStyle w:val="TableParagraph"/>
              <w:spacing w:before="0"/>
              <w:ind w:left="1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5760" cy="365759"/>
                  <wp:effectExtent l="0" t="0" r="0" b="0"/>
                  <wp:docPr id="3" name="image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01" w:type="dxa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line="249" w:lineRule="auto"/>
              <w:ind w:left="79" w:right="52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Sustainable energy sources</w:t>
            </w:r>
          </w:p>
          <w:p>
            <w:pPr>
              <w:pStyle w:val="TableParagraph"/>
              <w:spacing w:before="115"/>
              <w:ind w:left="7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teachers guide</w:t>
            </w:r>
          </w:p>
        </w:tc>
        <w:tc>
          <w:tcPr>
            <w:tcW w:w="5302" w:type="dxa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spacing w:line="249" w:lineRule="auto"/>
              <w:ind w:left="79" w:right="728"/>
              <w:jc w:val="bot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This guide explains how a data collation activity and accompanying worksheet can be used by students to compare energy sources.</w:t>
            </w:r>
          </w:p>
        </w:tc>
        <w:tc>
          <w:tcPr>
            <w:tcW w:w="1135" w:type="dxa"/>
            <w:tcBorders>
              <w:top w:val="nil"/>
            </w:tcBorders>
            <w:shd w:val="clear" w:color="auto" w:fill="D1D3D4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teachers</w:t>
            </w:r>
          </w:p>
        </w:tc>
      </w:tr>
      <w:tr>
        <w:trPr>
          <w:trHeight w:val="722" w:hRule="atLeast"/>
        </w:trPr>
        <w:tc>
          <w:tcPr>
            <w:tcW w:w="795" w:type="dxa"/>
          </w:tcPr>
          <w:p>
            <w:pPr>
              <w:pStyle w:val="TableParagraph"/>
              <w:spacing w:before="6"/>
              <w:ind w:left="0"/>
              <w:rPr>
                <w:sz w:val="6"/>
              </w:rPr>
            </w:pPr>
          </w:p>
          <w:p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5772" cy="365759"/>
                  <wp:effectExtent l="0" t="0" r="0" b="0"/>
                  <wp:docPr id="5" name="image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2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Siting a pool</w:t>
            </w:r>
          </w:p>
          <w:p>
            <w:pPr>
              <w:pStyle w:val="TableParagraph"/>
              <w:spacing w:before="122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worksheet</w:t>
            </w:r>
          </w:p>
        </w:tc>
        <w:tc>
          <w:tcPr>
            <w:tcW w:w="5302" w:type="dxa"/>
          </w:tcPr>
          <w:p>
            <w:pPr>
              <w:pStyle w:val="TableParagraph"/>
              <w:spacing w:line="249" w:lineRule="auto"/>
              <w:ind w:left="79" w:right="10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 use a fictitious town map and borehole data to suggest a location for a community swimming pool heated by geothermal energy.</w:t>
            </w:r>
          </w:p>
        </w:tc>
        <w:tc>
          <w:tcPr>
            <w:tcW w:w="1135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</w:p>
        </w:tc>
      </w:tr>
      <w:tr>
        <w:trPr>
          <w:trHeight w:val="722" w:hRule="atLeast"/>
        </w:trPr>
        <w:tc>
          <w:tcPr>
            <w:tcW w:w="795" w:type="dxa"/>
          </w:tcPr>
          <w:p>
            <w:pPr>
              <w:pStyle w:val="TableParagraph"/>
              <w:spacing w:before="6"/>
              <w:ind w:left="0"/>
              <w:rPr>
                <w:sz w:val="6"/>
              </w:rPr>
            </w:pPr>
          </w:p>
          <w:p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5760" cy="365759"/>
                  <wp:effectExtent l="0" t="0" r="0" b="0"/>
                  <wp:docPr id="7" name="image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01" w:type="dxa"/>
          </w:tcPr>
          <w:p>
            <w:pPr>
              <w:pStyle w:val="TableParagraph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Comparing energy sources</w:t>
            </w:r>
          </w:p>
          <w:p>
            <w:pPr>
              <w:pStyle w:val="TableParagraph"/>
              <w:spacing w:before="122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worksheet</w:t>
            </w:r>
          </w:p>
        </w:tc>
        <w:tc>
          <w:tcPr>
            <w:tcW w:w="5302" w:type="dxa"/>
          </w:tcPr>
          <w:p>
            <w:pPr>
              <w:pStyle w:val="TableParagraph"/>
              <w:spacing w:line="249" w:lineRule="auto"/>
              <w:ind w:left="79" w:right="451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 perform calculations to compare information about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energy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available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from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coal,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wind,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wave,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solar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 geothermal</w:t>
            </w:r>
            <w:r>
              <w:rPr>
                <w:color w:val="231F20"/>
                <w:spacing w:val="-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sources.</w:t>
            </w:r>
          </w:p>
        </w:tc>
        <w:tc>
          <w:tcPr>
            <w:tcW w:w="1135" w:type="dxa"/>
          </w:tcPr>
          <w:p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</w:p>
        </w:tc>
      </w:tr>
    </w:tbl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footerReference w:type="default" r:id="rId5"/>
          <w:type w:val="continuous"/>
          <w:pgSz w:w="11910" w:h="16840"/>
          <w:pgMar w:footer="738" w:top="760" w:bottom="920" w:left="1020" w:right="1000"/>
          <w:pgNumType w:start="1"/>
        </w:sectPr>
      </w:pPr>
    </w:p>
    <w:p>
      <w:pPr>
        <w:spacing w:before="100"/>
        <w:ind w:left="129" w:right="0" w:firstLine="0"/>
        <w:jc w:val="left"/>
        <w:rPr>
          <w:sz w:val="26"/>
        </w:rPr>
      </w:pPr>
      <w:r>
        <w:rPr>
          <w:color w:val="231F20"/>
          <w:sz w:val="26"/>
        </w:rPr>
        <w:t>Purpose</w:t>
      </w:r>
    </w:p>
    <w:p>
      <w:pPr>
        <w:pStyle w:val="BodyText"/>
        <w:spacing w:line="249" w:lineRule="auto" w:before="105"/>
        <w:ind w:left="129" w:right="33"/>
      </w:pPr>
      <w:r>
        <w:rPr>
          <w:color w:val="231F20"/>
          <w:spacing w:val="-6"/>
          <w:w w:val="110"/>
        </w:rPr>
        <w:t>To </w:t>
      </w:r>
      <w:r>
        <w:rPr>
          <w:b/>
          <w:color w:val="231F20"/>
          <w:w w:val="110"/>
        </w:rPr>
        <w:t>Elaborate </w:t>
      </w:r>
      <w:r>
        <w:rPr>
          <w:color w:val="231F20"/>
          <w:w w:val="110"/>
        </w:rPr>
        <w:t>on students’ understanding of geothermal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graphing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modelling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data, and comparison of different sustainable energy sources.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before="1"/>
      </w:pPr>
      <w:r>
        <w:rPr>
          <w:color w:val="231F20"/>
          <w:w w:val="110"/>
        </w:rPr>
        <w:t>Activity summary</w:t>
      </w:r>
    </w:p>
    <w:p>
      <w:pPr>
        <w:spacing w:before="100"/>
        <w:ind w:left="129" w:right="0" w:firstLine="0"/>
        <w:jc w:val="left"/>
        <w:rPr>
          <w:sz w:val="26"/>
        </w:rPr>
      </w:pPr>
      <w:r>
        <w:rPr/>
        <w:br w:type="column"/>
      </w:r>
      <w:r>
        <w:rPr>
          <w:color w:val="231F20"/>
          <w:w w:val="105"/>
          <w:sz w:val="26"/>
        </w:rPr>
        <w:t>Outcomes</w:t>
      </w:r>
    </w:p>
    <w:p>
      <w:pPr>
        <w:pStyle w:val="BodyText"/>
        <w:spacing w:before="105"/>
        <w:ind w:left="129"/>
      </w:pPr>
      <w:r>
        <w:rPr>
          <w:color w:val="231F20"/>
          <w:w w:val="105"/>
        </w:rPr>
        <w:t>Students:</w:t>
      </w:r>
    </w:p>
    <w:p>
      <w:pPr>
        <w:pStyle w:val="ListParagraph"/>
        <w:numPr>
          <w:ilvl w:val="0"/>
          <w:numId w:val="1"/>
        </w:numPr>
        <w:tabs>
          <w:tab w:pos="300" w:val="left" w:leader="none"/>
        </w:tabs>
        <w:spacing w:line="240" w:lineRule="auto" w:before="123" w:after="0"/>
        <w:ind w:left="299" w:right="0" w:hanging="170"/>
        <w:jc w:val="left"/>
        <w:rPr>
          <w:sz w:val="18"/>
        </w:rPr>
      </w:pPr>
      <w:r>
        <w:rPr>
          <w:color w:val="231F20"/>
          <w:w w:val="110"/>
          <w:sz w:val="18"/>
        </w:rPr>
        <w:t>graph, analyse and interpret</w:t>
      </w:r>
      <w:r>
        <w:rPr>
          <w:color w:val="231F20"/>
          <w:spacing w:val="-26"/>
          <w:w w:val="110"/>
          <w:sz w:val="18"/>
        </w:rPr>
        <w:t> </w:t>
      </w:r>
      <w:r>
        <w:rPr>
          <w:color w:val="231F20"/>
          <w:spacing w:val="2"/>
          <w:w w:val="110"/>
          <w:sz w:val="18"/>
        </w:rPr>
        <w:t>data;</w:t>
      </w:r>
    </w:p>
    <w:p>
      <w:pPr>
        <w:pStyle w:val="ListParagraph"/>
        <w:numPr>
          <w:ilvl w:val="0"/>
          <w:numId w:val="1"/>
        </w:numPr>
        <w:tabs>
          <w:tab w:pos="300" w:val="left" w:leader="none"/>
        </w:tabs>
        <w:spacing w:line="249" w:lineRule="auto" w:before="65" w:after="0"/>
        <w:ind w:left="299" w:right="316" w:hanging="170"/>
        <w:jc w:val="left"/>
        <w:rPr>
          <w:sz w:val="18"/>
        </w:rPr>
      </w:pPr>
      <w:r>
        <w:rPr>
          <w:color w:val="231F20"/>
          <w:w w:val="110"/>
          <w:sz w:val="18"/>
        </w:rPr>
        <w:t>model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role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science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real-world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decision making </w:t>
      </w:r>
      <w:r>
        <w:rPr>
          <w:color w:val="231F20"/>
          <w:spacing w:val="2"/>
          <w:w w:val="110"/>
          <w:sz w:val="18"/>
        </w:rPr>
        <w:t>process;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</w:p>
    <w:p>
      <w:pPr>
        <w:pStyle w:val="ListParagraph"/>
        <w:numPr>
          <w:ilvl w:val="0"/>
          <w:numId w:val="1"/>
        </w:numPr>
        <w:tabs>
          <w:tab w:pos="300" w:val="left" w:leader="none"/>
        </w:tabs>
        <w:spacing w:line="249" w:lineRule="auto" w:before="59" w:after="0"/>
        <w:ind w:left="299" w:right="323" w:hanging="170"/>
        <w:jc w:val="left"/>
        <w:rPr>
          <w:sz w:val="18"/>
        </w:rPr>
      </w:pPr>
      <w:r>
        <w:rPr>
          <w:color w:val="231F20"/>
          <w:w w:val="110"/>
          <w:sz w:val="18"/>
        </w:rPr>
        <w:t>perform calculations to compare geothermal energy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w w:val="110"/>
          <w:sz w:val="18"/>
        </w:rPr>
        <w:t>with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w w:val="110"/>
          <w:sz w:val="18"/>
        </w:rPr>
        <w:t>coal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w w:val="110"/>
          <w:sz w:val="18"/>
        </w:rPr>
        <w:t>sustainable</w:t>
      </w:r>
      <w:r>
        <w:rPr>
          <w:color w:val="231F20"/>
          <w:spacing w:val="-30"/>
          <w:w w:val="110"/>
          <w:sz w:val="18"/>
        </w:rPr>
        <w:t> </w:t>
      </w:r>
      <w:r>
        <w:rPr>
          <w:color w:val="231F20"/>
          <w:w w:val="110"/>
          <w:sz w:val="18"/>
        </w:rPr>
        <w:t>energy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w w:val="110"/>
          <w:sz w:val="18"/>
        </w:rPr>
        <w:t>sources.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1910" w:h="16840"/>
          <w:pgMar w:top="760" w:bottom="920" w:left="1020" w:right="1000"/>
          <w:cols w:num="2" w:equalWidth="0">
            <w:col w:w="4650" w:space="453"/>
            <w:col w:w="4787"/>
          </w:cols>
        </w:sectPr>
      </w:pP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14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67"/>
        <w:gridCol w:w="3462"/>
      </w:tblGrid>
      <w:tr>
        <w:trPr>
          <w:trHeight w:val="295" w:hRule="atLeast"/>
        </w:trPr>
        <w:tc>
          <w:tcPr>
            <w:tcW w:w="6167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5"/>
              <w:rPr>
                <w:sz w:val="18"/>
              </w:rPr>
            </w:pPr>
            <w:r>
              <w:rPr>
                <w:color w:val="FFFFFF"/>
                <w:sz w:val="18"/>
              </w:rPr>
              <w:t>ACTIVITY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4"/>
              <w:rPr>
                <w:sz w:val="18"/>
              </w:rPr>
            </w:pPr>
            <w:r>
              <w:rPr>
                <w:color w:val="FFFFFF"/>
                <w:sz w:val="18"/>
              </w:rPr>
              <w:t>POSSIBLE STRATEGY</w:t>
            </w:r>
          </w:p>
        </w:tc>
      </w:tr>
      <w:tr>
        <w:trPr>
          <w:trHeight w:val="619" w:hRule="atLeast"/>
        </w:trPr>
        <w:tc>
          <w:tcPr>
            <w:tcW w:w="6167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Teacher introduces the challenge to students.</w:t>
            </w:r>
          </w:p>
          <w:p>
            <w:pPr>
              <w:pStyle w:val="TableParagraph"/>
              <w:spacing w:before="12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 follow the worksheet, graphing and interpreting results.</w:t>
            </w:r>
          </w:p>
        </w:tc>
        <w:tc>
          <w:tcPr>
            <w:tcW w:w="3462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small groups or individually</w:t>
            </w:r>
          </w:p>
        </w:tc>
      </w:tr>
      <w:tr>
        <w:trPr>
          <w:trHeight w:val="722" w:hRule="atLeast"/>
        </w:trPr>
        <w:tc>
          <w:tcPr>
            <w:tcW w:w="6167" w:type="dxa"/>
          </w:tcPr>
          <w:p>
            <w:pPr>
              <w:pStyle w:val="TableParagraph"/>
              <w:spacing w:line="249" w:lineRule="auto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 communicate to the class, using their preferred method </w:t>
            </w:r>
            <w:r>
              <w:rPr>
                <w:color w:val="231F20"/>
                <w:spacing w:val="3"/>
                <w:w w:val="110"/>
                <w:sz w:val="18"/>
              </w:rPr>
              <w:t>(IWB,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PowerPoint,</w:t>
            </w:r>
            <w:r>
              <w:rPr>
                <w:color w:val="231F20"/>
                <w:spacing w:val="-2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poster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spacing w:val="3"/>
                <w:w w:val="110"/>
                <w:sz w:val="18"/>
              </w:rPr>
              <w:t>…),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their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decision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about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siting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2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swimming pool.</w:t>
            </w:r>
          </w:p>
        </w:tc>
        <w:tc>
          <w:tcPr>
            <w:tcW w:w="3462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small groups or individually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760" w:bottom="920" w:left="1020" w:right="1000"/>
        </w:sectPr>
      </w:pPr>
    </w:p>
    <w:p>
      <w:pPr>
        <w:pStyle w:val="Heading1"/>
        <w:spacing w:before="222"/>
      </w:pPr>
      <w:r>
        <w:rPr>
          <w:color w:val="231F20"/>
          <w:w w:val="105"/>
        </w:rPr>
        <w:t>Technical requirements</w:t>
      </w:r>
    </w:p>
    <w:p>
      <w:pPr>
        <w:pStyle w:val="BodyText"/>
        <w:spacing w:line="249" w:lineRule="auto" w:before="105"/>
        <w:ind w:left="129"/>
      </w:pPr>
      <w:r>
        <w:rPr>
          <w:color w:val="231F20"/>
          <w:w w:val="105"/>
        </w:rPr>
        <w:t>The guide and worksheets require Adobe Reader (version 5 or later), which is a free download from adobe.com. The worksheets are also provided in Microsoft Word format.</w:t>
      </w:r>
    </w:p>
    <w:p>
      <w:pPr>
        <w:pStyle w:val="Heading1"/>
        <w:spacing w:before="222"/>
      </w:pPr>
      <w:r>
        <w:rPr/>
        <w:br w:type="column"/>
      </w:r>
      <w:r>
        <w:rPr>
          <w:color w:val="231F20"/>
          <w:w w:val="105"/>
        </w:rPr>
        <w:t>Teacher notes</w:t>
      </w:r>
    </w:p>
    <w:p>
      <w:pPr>
        <w:pStyle w:val="BodyText"/>
        <w:spacing w:line="249" w:lineRule="auto" w:before="105"/>
        <w:ind w:left="129" w:right="419"/>
      </w:pPr>
      <w:r>
        <w:rPr>
          <w:color w:val="231F20"/>
          <w:w w:val="110"/>
        </w:rPr>
        <w:t>Students may require tuition about isotherms and how to graph them on the prepared grids.</w:t>
      </w:r>
    </w:p>
    <w:p>
      <w:pPr>
        <w:pStyle w:val="BodyText"/>
        <w:spacing w:line="249" w:lineRule="auto" w:before="2"/>
        <w:ind w:left="129" w:right="325"/>
      </w:pPr>
      <w:r>
        <w:rPr>
          <w:color w:val="231F20"/>
          <w:w w:val="115"/>
        </w:rPr>
        <w:t>Alternatively, you may provide students with </w:t>
      </w:r>
      <w:r>
        <w:rPr>
          <w:color w:val="231F20"/>
          <w:w w:val="110"/>
        </w:rPr>
        <w:t>isotherm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graphs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answer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questions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on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worksheet.</w:t>
      </w:r>
    </w:p>
    <w:p>
      <w:pPr>
        <w:pStyle w:val="BodyText"/>
        <w:spacing w:line="249" w:lineRule="auto" w:before="115"/>
        <w:ind w:left="129" w:right="137"/>
      </w:pPr>
      <w:r>
        <w:rPr/>
        <w:pict>
          <v:group style="position:absolute;margin-left:479.941986pt;margin-top:146.7397pt;width:31.2pt;height:8.3pt;mso-position-horizontal-relative:page;mso-position-vertical-relative:paragraph;z-index:1096" coordorigin="9599,2935" coordsize="624,166">
            <v:rect style="position:absolute;left:9598;top:2934;width:132;height:166" filled="true" fillcolor="#f15638" stroked="false">
              <v:fill type="solid"/>
            </v:rect>
            <v:rect style="position:absolute;left:9729;top:2934;width:192;height:166" filled="true" fillcolor="#f36e3a" stroked="false">
              <v:fill type="solid"/>
            </v:rect>
            <v:rect style="position:absolute;left:9921;top:2934;width:301;height:166" filled="true" fillcolor="#f99b1c" stroked="false">
              <v:fill type="solid"/>
            </v:rect>
            <w10:wrap type="none"/>
          </v:group>
        </w:pict>
      </w:r>
      <w:r>
        <w:rPr/>
        <w:pict>
          <v:group style="position:absolute;margin-left:105.850998pt;margin-top:146.7397pt;width:257.7pt;height:8.3pt;mso-position-horizontal-relative:page;mso-position-vertical-relative:paragraph;z-index:1120" coordorigin="2117,2935" coordsize="5154,166">
            <v:shape style="position:absolute;left:6539;top:2934;width:732;height:166" coordorigin="6539,2935" coordsize="732,166" path="m6670,2935l6539,2935,6539,3101,6670,3101,6670,2935m7271,2935l7162,2935,7162,3101,7271,3101,7271,2935e" filled="true" fillcolor="#f15638" stroked="false">
              <v:path arrowok="t"/>
              <v:fill type="solid"/>
            </v:shape>
            <v:rect style="position:absolute;left:6670;top:2934;width:192;height:166" filled="true" fillcolor="#f36e3a" stroked="false">
              <v:fill type="solid"/>
            </v:rect>
            <v:rect style="position:absolute;left:6861;top:2934;width:301;height:166" filled="true" fillcolor="#f99b1c" stroked="false">
              <v:fill type="solid"/>
            </v:rect>
            <v:rect style="position:absolute;left:6152;top:2934;width:213;height:166" filled="true" fillcolor="#f15638" stroked="false">
              <v:fill type="solid"/>
            </v:rect>
            <v:rect style="position:absolute;left:6364;top:2934;width:175;height:166" filled="true" fillcolor="#f99b1c" stroked="false">
              <v:fill type="solid"/>
            </v:rect>
            <v:rect style="position:absolute;left:5389;top:2934;width:97;height:166" filled="true" fillcolor="#f15638" stroked="false">
              <v:fill type="solid"/>
            </v:rect>
            <v:rect style="position:absolute;left:5485;top:2934;width:377;height:166" filled="true" fillcolor="#f99b1c" stroked="false">
              <v:fill type="solid"/>
            </v:rect>
            <v:rect style="position:absolute;left:5862;top:2934;width:291;height:166" filled="true" fillcolor="#f36e3a" stroked="false">
              <v:fill type="solid"/>
            </v:rect>
            <v:rect style="position:absolute;left:4729;top:2934;width:198;height:166" filled="true" fillcolor="#f15638" stroked="false">
              <v:fill type="solid"/>
            </v:rect>
            <v:rect style="position:absolute;left:4927;top:2934;width:138;height:166" filled="true" fillcolor="#f99b1c" stroked="false">
              <v:fill type="solid"/>
            </v:rect>
            <v:rect style="position:absolute;left:4297;top:2934;width:235;height:166" filled="true" fillcolor="#f15638" stroked="false">
              <v:fill type="solid"/>
            </v:rect>
            <v:rect style="position:absolute;left:4531;top:2934;width:198;height:166" filled="true" fillcolor="#f99b1c" stroked="false">
              <v:fill type="solid"/>
            </v:rect>
            <v:rect style="position:absolute;left:5064;top:2934;width:325;height:166" filled="true" fillcolor="#f36e3a" stroked="false">
              <v:fill type="solid"/>
            </v:rect>
            <v:shape style="position:absolute;left:2794;top:2934;width:838;height:166" coordorigin="2794,2935" coordsize="838,166" path="m2925,2935l2794,2935,2794,3101,2925,3101,2925,2935m3631,2935l3417,2935,3417,3101,3631,3101,3631,2935e" filled="true" fillcolor="#f15638" stroked="false">
              <v:path arrowok="t"/>
              <v:fill type="solid"/>
            </v:shape>
            <v:rect style="position:absolute;left:2925;top:2934;width:192;height:166" filled="true" fillcolor="#f36e3a" stroked="false">
              <v:fill type="solid"/>
            </v:rect>
            <v:rect style="position:absolute;left:3116;top:2934;width:301;height:166" filled="true" fillcolor="#f99b1c" stroked="false">
              <v:fill type="solid"/>
            </v:rect>
            <v:rect style="position:absolute;left:2407;top:2934;width:215;height:166" filled="true" fillcolor="#f15638" stroked="false">
              <v:fill type="solid"/>
            </v:rect>
            <v:rect style="position:absolute;left:2622;top:2934;width:172;height:166" filled="true" fillcolor="#f99b1c" stroked="false">
              <v:fill type="solid"/>
            </v:rect>
            <v:rect style="position:absolute;left:2117;top:2934;width:291;height:166" filled="true" fillcolor="#f36e3a" stroked="false">
              <v:fill type="solid"/>
            </v:rect>
            <v:rect style="position:absolute;left:3631;top:2934;width:352;height:166" filled="true" fillcolor="#f99b1c" stroked="false">
              <v:fill type="solid"/>
            </v:rect>
            <v:rect style="position:absolute;left:3983;top:2934;width:315;height:166" filled="true" fillcolor="#f36e3a" stroked="false">
              <v:fill type="solid"/>
            </v:rect>
            <w10:wrap type="none"/>
          </v:group>
        </w:pict>
      </w:r>
      <w:r>
        <w:rPr>
          <w:color w:val="231F20"/>
          <w:w w:val="110"/>
        </w:rPr>
        <w:t>Students may experience difficulty answering question 5 if they choose sites other than those indicated in the solutions. Teachers may guide students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selecting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appropriate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sites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engaging in a classroom discussion about suitable criteria (question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4"/>
          <w:w w:val="110"/>
        </w:rPr>
        <w:t>4).</w:t>
      </w:r>
    </w:p>
    <w:p>
      <w:pPr>
        <w:spacing w:after="0" w:line="249" w:lineRule="auto"/>
        <w:sectPr>
          <w:type w:val="continuous"/>
          <w:pgSz w:w="11910" w:h="16840"/>
          <w:pgMar w:top="760" w:bottom="920" w:left="1020" w:right="1000"/>
          <w:cols w:num="2" w:equalWidth="0">
            <w:col w:w="4428" w:space="674"/>
            <w:col w:w="478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6560059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6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"/>
        <w:gridCol w:w="328"/>
        <w:gridCol w:w="224"/>
        <w:gridCol w:w="147"/>
        <w:gridCol w:w="376"/>
        <w:gridCol w:w="328"/>
        <w:gridCol w:w="224"/>
        <w:gridCol w:w="152"/>
        <w:gridCol w:w="172"/>
      </w:tblGrid>
      <w:tr>
        <w:trPr>
          <w:trHeight w:val="165" w:hRule="atLeast"/>
        </w:trPr>
        <w:tc>
          <w:tcPr>
            <w:tcW w:w="376" w:type="dxa"/>
            <w:shd w:val="clear" w:color="auto" w:fill="F99B1C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47" w:type="dxa"/>
            <w:shd w:val="clear" w:color="auto" w:fill="F1563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76" w:type="dxa"/>
            <w:shd w:val="clear" w:color="auto" w:fill="F99B1C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52" w:type="dxa"/>
            <w:shd w:val="clear" w:color="auto" w:fill="F1563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172" w:type="dxa"/>
            <w:shd w:val="clear" w:color="auto" w:fill="F99B1C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</w:tbl>
    <w:p>
      <w:pPr>
        <w:spacing w:after="0"/>
        <w:rPr>
          <w:rFonts w:ascii="Times New Roman"/>
          <w:sz w:val="10"/>
        </w:rPr>
        <w:sectPr>
          <w:type w:val="continuous"/>
          <w:pgSz w:w="11910" w:h="16840"/>
          <w:pgMar w:top="760" w:bottom="920" w:left="1020" w:right="1000"/>
        </w:sectPr>
      </w:pPr>
    </w:p>
    <w:p>
      <w:pPr>
        <w:pStyle w:val="Heading1"/>
        <w:spacing w:before="71"/>
        <w:ind w:left="105"/>
      </w:pPr>
      <w:r>
        <w:rPr>
          <w:color w:val="231F20"/>
        </w:rPr>
        <w:t>Associated SPICE resources</w:t>
      </w:r>
    </w:p>
    <w:p>
      <w:pPr>
        <w:spacing w:line="249" w:lineRule="auto" w:before="105"/>
        <w:ind w:left="105" w:right="5235" w:firstLine="0"/>
        <w:jc w:val="left"/>
        <w:rPr>
          <w:sz w:val="18"/>
        </w:rPr>
      </w:pPr>
      <w:r>
        <w:rPr>
          <w:i/>
          <w:color w:val="231F20"/>
          <w:w w:val="105"/>
          <w:sz w:val="18"/>
        </w:rPr>
        <w:t>Geothermal energy 4: Sustainable energy sources </w:t>
      </w:r>
      <w:r>
        <w:rPr>
          <w:color w:val="231F20"/>
          <w:w w:val="105"/>
          <w:sz w:val="18"/>
        </w:rPr>
        <w:t>may be used in conjunction with related SPICE resources to investigate specific heat and latent heat.</w:t>
      </w: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42"/>
        <w:gridCol w:w="1875"/>
      </w:tblGrid>
      <w:tr>
        <w:trPr>
          <w:trHeight w:val="295" w:hRule="atLeast"/>
        </w:trPr>
        <w:tc>
          <w:tcPr>
            <w:tcW w:w="7742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5"/>
              <w:rPr>
                <w:sz w:val="18"/>
              </w:rPr>
            </w:pPr>
            <w:r>
              <w:rPr>
                <w:color w:val="FFFFFF"/>
                <w:sz w:val="18"/>
              </w:rPr>
              <w:t>DESCRIPTION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>
            <w:pPr>
              <w:pStyle w:val="TableParagraph"/>
              <w:spacing w:before="51"/>
              <w:ind w:left="8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LEARNING PURPOSE</w:t>
            </w:r>
          </w:p>
        </w:tc>
      </w:tr>
      <w:tr>
        <w:trPr>
          <w:trHeight w:val="835" w:hRule="atLeast"/>
        </w:trPr>
        <w:tc>
          <w:tcPr>
            <w:tcW w:w="7742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Geothermal energy (overview)</w:t>
            </w:r>
          </w:p>
          <w:p>
            <w:pPr>
              <w:pStyle w:val="TableParagraph"/>
              <w:spacing w:line="249" w:lineRule="auto" w:before="12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This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learning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pathway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shows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how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number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of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SPICE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resources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can</w:t>
            </w:r>
            <w:r>
              <w:rPr>
                <w:color w:val="231F20"/>
                <w:spacing w:val="-9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be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combined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to</w:t>
            </w:r>
            <w:r>
              <w:rPr>
                <w:color w:val="231F20"/>
                <w:spacing w:val="-8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assist with teaching the topics of specific heat and latent</w:t>
            </w:r>
            <w:r>
              <w:rPr>
                <w:color w:val="231F20"/>
                <w:spacing w:val="1"/>
                <w:w w:val="105"/>
                <w:sz w:val="18"/>
              </w:rPr>
              <w:t> </w:t>
            </w:r>
            <w:r>
              <w:rPr>
                <w:color w:val="231F20"/>
                <w:w w:val="105"/>
                <w:sz w:val="18"/>
              </w:rPr>
              <w:t>heat.</w:t>
            </w:r>
          </w:p>
        </w:tc>
        <w:tc>
          <w:tcPr>
            <w:tcW w:w="1875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835" w:hRule="atLeast"/>
        </w:trPr>
        <w:tc>
          <w:tcPr>
            <w:tcW w:w="7742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Geothermal energy 1: Heat beneath your feet</w:t>
            </w:r>
          </w:p>
          <w:p>
            <w:pPr>
              <w:pStyle w:val="TableParagraph"/>
              <w:spacing w:line="249" w:lineRule="auto" w:before="12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A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video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engages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student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interest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recent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developments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future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possibilities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for</w:t>
            </w:r>
            <w:r>
              <w:rPr>
                <w:color w:val="231F20"/>
                <w:spacing w:val="-13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 use of geothermal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energy.</w:t>
            </w:r>
          </w:p>
        </w:tc>
        <w:tc>
          <w:tcPr>
            <w:tcW w:w="1875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Engage</w:t>
            </w:r>
          </w:p>
        </w:tc>
      </w:tr>
      <w:tr>
        <w:trPr>
          <w:trHeight w:val="835" w:hRule="atLeast"/>
        </w:trPr>
        <w:tc>
          <w:tcPr>
            <w:tcW w:w="7742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Geothermal energy 2: Specific heat capacity</w:t>
            </w:r>
          </w:p>
          <w:p>
            <w:pPr>
              <w:pStyle w:val="TableParagraph"/>
              <w:spacing w:line="249" w:lineRule="auto" w:before="122"/>
              <w:ind w:right="246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investigate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specific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heat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capacity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water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laboratory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14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problem- solving</w:t>
            </w:r>
            <w:r>
              <w:rPr>
                <w:color w:val="231F20"/>
                <w:spacing w:val="-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activities.</w:t>
            </w:r>
          </w:p>
        </w:tc>
        <w:tc>
          <w:tcPr>
            <w:tcW w:w="1875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Explore</w:t>
            </w:r>
          </w:p>
        </w:tc>
      </w:tr>
      <w:tr>
        <w:trPr>
          <w:trHeight w:val="835" w:hRule="atLeast"/>
        </w:trPr>
        <w:tc>
          <w:tcPr>
            <w:tcW w:w="7742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Geothermal energy 3: Heating a pool</w:t>
            </w:r>
          </w:p>
          <w:p>
            <w:pPr>
              <w:pStyle w:val="TableParagraph"/>
              <w:spacing w:line="249" w:lineRule="auto" w:before="122"/>
              <w:ind w:right="246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Students’</w:t>
            </w:r>
            <w:r>
              <w:rPr>
                <w:color w:val="231F20"/>
                <w:spacing w:val="-1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understanding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specific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heat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is</w:t>
            </w:r>
            <w:r>
              <w:rPr>
                <w:color w:val="231F20"/>
                <w:spacing w:val="-1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developed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through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data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analysis</w:t>
            </w:r>
            <w:r>
              <w:rPr>
                <w:color w:val="231F20"/>
                <w:spacing w:val="-1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19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 context</w:t>
            </w:r>
            <w:r>
              <w:rPr>
                <w:color w:val="231F20"/>
                <w:spacing w:val="-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heating</w:t>
            </w:r>
            <w:r>
              <w:rPr>
                <w:color w:val="231F20"/>
                <w:spacing w:val="-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swimming</w:t>
            </w:r>
            <w:r>
              <w:rPr>
                <w:color w:val="231F20"/>
                <w:spacing w:val="-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pools</w:t>
            </w:r>
            <w:r>
              <w:rPr>
                <w:color w:val="231F20"/>
                <w:spacing w:val="-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using</w:t>
            </w:r>
            <w:r>
              <w:rPr>
                <w:color w:val="231F20"/>
                <w:spacing w:val="-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geothermal</w:t>
            </w:r>
            <w:r>
              <w:rPr>
                <w:color w:val="231F20"/>
                <w:spacing w:val="-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energy.</w:t>
            </w:r>
          </w:p>
        </w:tc>
        <w:tc>
          <w:tcPr>
            <w:tcW w:w="1875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Explain</w:t>
            </w:r>
          </w:p>
        </w:tc>
      </w:tr>
      <w:tr>
        <w:trPr>
          <w:trHeight w:val="835" w:hRule="atLeast"/>
        </w:trPr>
        <w:tc>
          <w:tcPr>
            <w:tcW w:w="7742" w:type="dxa"/>
            <w:shd w:val="clear" w:color="auto" w:fill="DCDDDE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>Geothermal energy 4: Sustainable energy sources</w:t>
            </w:r>
          </w:p>
          <w:p>
            <w:pPr>
              <w:pStyle w:val="TableParagraph"/>
              <w:spacing w:line="249" w:lineRule="auto" w:before="12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1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reinforce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deepen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their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understanding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specific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heat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and</w:t>
            </w:r>
            <w:r>
              <w:rPr>
                <w:color w:val="231F20"/>
                <w:spacing w:val="-15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geothermal energy through problem-solving</w:t>
            </w:r>
            <w:r>
              <w:rPr>
                <w:color w:val="231F20"/>
                <w:spacing w:val="-1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activities.</w:t>
            </w:r>
          </w:p>
        </w:tc>
        <w:tc>
          <w:tcPr>
            <w:tcW w:w="1875" w:type="dxa"/>
            <w:shd w:val="clear" w:color="auto" w:fill="DCDDDE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Elaborate</w:t>
            </w:r>
          </w:p>
        </w:tc>
      </w:tr>
      <w:tr>
        <w:trPr>
          <w:trHeight w:val="619" w:hRule="atLeast"/>
        </w:trPr>
        <w:tc>
          <w:tcPr>
            <w:tcW w:w="7742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Geothermal energy 5: Latent heat</w:t>
            </w:r>
          </w:p>
          <w:p>
            <w:pPr>
              <w:pStyle w:val="TableParagraph"/>
              <w:spacing w:before="12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 investigate latent heat through practical and problem-solving activities.</w:t>
            </w:r>
          </w:p>
        </w:tc>
        <w:tc>
          <w:tcPr>
            <w:tcW w:w="1875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Explore</w:t>
            </w:r>
          </w:p>
        </w:tc>
      </w:tr>
      <w:tr>
        <w:trPr>
          <w:trHeight w:val="835" w:hRule="atLeast"/>
        </w:trPr>
        <w:tc>
          <w:tcPr>
            <w:tcW w:w="7742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Geothermal energy 6: Using geothermal energy</w:t>
            </w:r>
          </w:p>
          <w:p>
            <w:pPr>
              <w:pStyle w:val="TableParagraph"/>
              <w:spacing w:line="249" w:lineRule="auto" w:before="123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1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use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interactive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learning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object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develop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understanding</w:t>
            </w:r>
            <w:r>
              <w:rPr>
                <w:color w:val="231F20"/>
                <w:spacing w:val="-1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how</w:t>
            </w:r>
            <w:r>
              <w:rPr>
                <w:color w:val="231F20"/>
                <w:spacing w:val="-10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latent heat</w:t>
            </w:r>
            <w:r>
              <w:rPr>
                <w:color w:val="231F20"/>
                <w:spacing w:val="-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is</w:t>
            </w:r>
            <w:r>
              <w:rPr>
                <w:color w:val="231F20"/>
                <w:spacing w:val="-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used</w:t>
            </w:r>
            <w:r>
              <w:rPr>
                <w:color w:val="231F20"/>
                <w:spacing w:val="-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in</w:t>
            </w:r>
            <w:r>
              <w:rPr>
                <w:color w:val="231F20"/>
                <w:spacing w:val="-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</w:t>
            </w:r>
            <w:r>
              <w:rPr>
                <w:color w:val="231F20"/>
                <w:spacing w:val="-7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number</w:t>
            </w:r>
            <w:r>
              <w:rPr>
                <w:color w:val="231F20"/>
                <w:spacing w:val="-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of</w:t>
            </w:r>
            <w:r>
              <w:rPr>
                <w:color w:val="231F20"/>
                <w:spacing w:val="-6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devices.</w:t>
            </w:r>
          </w:p>
        </w:tc>
        <w:tc>
          <w:tcPr>
            <w:tcW w:w="1875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Explain</w:t>
            </w:r>
          </w:p>
        </w:tc>
      </w:tr>
      <w:tr>
        <w:trPr>
          <w:trHeight w:val="835" w:hRule="atLeast"/>
        </w:trPr>
        <w:tc>
          <w:tcPr>
            <w:tcW w:w="7742" w:type="dxa"/>
          </w:tcPr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>Geothermal energy 7: The geothermal alternative</w:t>
            </w:r>
          </w:p>
          <w:p>
            <w:pPr>
              <w:pStyle w:val="TableParagraph"/>
              <w:spacing w:line="249" w:lineRule="auto" w:before="123"/>
              <w:ind w:right="246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Students</w:t>
            </w:r>
            <w:r>
              <w:rPr>
                <w:color w:val="231F20"/>
                <w:spacing w:val="-32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use</w:t>
            </w:r>
            <w:r>
              <w:rPr>
                <w:color w:val="231F20"/>
                <w:spacing w:val="-3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concepts</w:t>
            </w:r>
            <w:r>
              <w:rPr>
                <w:color w:val="231F20"/>
                <w:spacing w:val="-3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developed</w:t>
            </w:r>
            <w:r>
              <w:rPr>
                <w:color w:val="231F20"/>
                <w:spacing w:val="-3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throughout</w:t>
            </w:r>
            <w:r>
              <w:rPr>
                <w:color w:val="231F20"/>
                <w:spacing w:val="-3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this</w:t>
            </w:r>
            <w:r>
              <w:rPr>
                <w:color w:val="231F20"/>
                <w:spacing w:val="-3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sequence</w:t>
            </w:r>
            <w:r>
              <w:rPr>
                <w:color w:val="231F20"/>
                <w:spacing w:val="-3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to</w:t>
            </w:r>
            <w:r>
              <w:rPr>
                <w:color w:val="231F20"/>
                <w:spacing w:val="-3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analyse</w:t>
            </w:r>
            <w:r>
              <w:rPr>
                <w:color w:val="231F20"/>
                <w:spacing w:val="-3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two</w:t>
            </w:r>
            <w:r>
              <w:rPr>
                <w:color w:val="231F20"/>
                <w:spacing w:val="-3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case</w:t>
            </w:r>
            <w:r>
              <w:rPr>
                <w:color w:val="231F20"/>
                <w:spacing w:val="-31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studies that involve use of geothermal</w:t>
            </w:r>
            <w:r>
              <w:rPr>
                <w:color w:val="231F20"/>
                <w:spacing w:val="-28"/>
                <w:w w:val="110"/>
                <w:sz w:val="18"/>
              </w:rPr>
              <w:t> </w:t>
            </w:r>
            <w:r>
              <w:rPr>
                <w:color w:val="231F20"/>
                <w:w w:val="110"/>
                <w:sz w:val="18"/>
              </w:rPr>
              <w:t>energy.</w:t>
            </w:r>
          </w:p>
        </w:tc>
        <w:tc>
          <w:tcPr>
            <w:tcW w:w="1875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Elaborate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738" w:top="720" w:bottom="1280" w:left="1020" w:right="1000"/>
        </w:sectPr>
      </w:pPr>
    </w:p>
    <w:p>
      <w:pPr>
        <w:pStyle w:val="Heading1"/>
        <w:spacing w:before="236"/>
        <w:ind w:left="105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6560058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1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Acknowledgements</w:t>
      </w:r>
    </w:p>
    <w:p>
      <w:pPr>
        <w:pStyle w:val="BodyText"/>
        <w:spacing w:line="249" w:lineRule="auto" w:before="106"/>
        <w:ind w:left="105" w:right="27"/>
      </w:pPr>
      <w:r>
        <w:rPr>
          <w:color w:val="231F20"/>
          <w:w w:val="110"/>
        </w:rPr>
        <w:t>Thanks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Dr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Ludovic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Ricard,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3"/>
          <w:w w:val="110"/>
        </w:rPr>
        <w:t>WA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Geothermal</w:t>
      </w:r>
      <w:r>
        <w:rPr>
          <w:color w:val="231F20"/>
          <w:spacing w:val="-31"/>
          <w:w w:val="110"/>
        </w:rPr>
        <w:t> </w:t>
      </w:r>
      <w:r>
        <w:rPr>
          <w:color w:val="231F20"/>
          <w:w w:val="110"/>
        </w:rPr>
        <w:t>Centre 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Excellence.</w:t>
      </w:r>
    </w:p>
    <w:p>
      <w:pPr>
        <w:pStyle w:val="BodyText"/>
        <w:spacing w:line="249" w:lineRule="auto" w:before="115"/>
        <w:ind w:left="105" w:right="68"/>
      </w:pPr>
      <w:r>
        <w:rPr>
          <w:color w:val="231F20"/>
          <w:w w:val="110"/>
        </w:rPr>
        <w:t>Designed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developed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Centre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Learning Technology,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University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Western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Australia.</w:t>
      </w:r>
    </w:p>
    <w:p>
      <w:pPr>
        <w:pStyle w:val="BodyText"/>
        <w:spacing w:line="249" w:lineRule="auto" w:before="1"/>
        <w:ind w:left="105" w:right="253"/>
      </w:pPr>
      <w:r>
        <w:rPr>
          <w:color w:val="231F20"/>
          <w:w w:val="110"/>
        </w:rPr>
        <w:t>Production team: Leanne Bartoll, </w:t>
      </w:r>
      <w:r>
        <w:rPr>
          <w:color w:val="231F20"/>
          <w:spacing w:val="2"/>
          <w:w w:val="110"/>
        </w:rPr>
        <w:t>Alwyn </w:t>
      </w:r>
      <w:r>
        <w:rPr>
          <w:color w:val="231F20"/>
          <w:w w:val="110"/>
        </w:rPr>
        <w:t>Evans, Bob</w:t>
      </w:r>
      <w:r>
        <w:rPr>
          <w:color w:val="231F20"/>
          <w:spacing w:val="-28"/>
          <w:w w:val="110"/>
        </w:rPr>
        <w:t> </w:t>
      </w:r>
      <w:r>
        <w:rPr>
          <w:color w:val="231F20"/>
          <w:w w:val="110"/>
        </w:rPr>
        <w:t>Fitzpatrick,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Dan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Hutton,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Emma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Pointon,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2"/>
          <w:w w:val="110"/>
        </w:rPr>
        <w:t>Gary </w:t>
      </w:r>
      <w:r>
        <w:rPr>
          <w:color w:val="231F20"/>
          <w:w w:val="110"/>
        </w:rPr>
        <w:t>Thomas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Michael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Wheatley,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thanks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</w:t>
      </w:r>
    </w:p>
    <w:p>
      <w:pPr>
        <w:pStyle w:val="BodyText"/>
        <w:spacing w:line="249" w:lineRule="auto" w:before="2"/>
        <w:ind w:left="105" w:right="-20"/>
      </w:pPr>
      <w:r>
        <w:rPr>
          <w:color w:val="231F20"/>
          <w:w w:val="105"/>
        </w:rPr>
        <w:t>Pauline Charman, Jenny Gull, Wendy Sanderson and Charmaine White.</w:t>
      </w:r>
    </w:p>
    <w:p>
      <w:pPr>
        <w:pStyle w:val="Heading1"/>
        <w:spacing w:before="236"/>
        <w:ind w:left="105"/>
      </w:pPr>
      <w:r>
        <w:rPr/>
        <w:br w:type="column"/>
      </w:r>
      <w:r>
        <w:rPr>
          <w:color w:val="231F20"/>
          <w:w w:val="105"/>
        </w:rPr>
        <w:t>SPICE resources and copyright</w:t>
      </w:r>
    </w:p>
    <w:p>
      <w:pPr>
        <w:pStyle w:val="BodyText"/>
        <w:spacing w:line="249" w:lineRule="auto" w:before="106"/>
        <w:ind w:left="105" w:right="248"/>
      </w:pPr>
      <w:r>
        <w:rPr>
          <w:color w:val="231F20"/>
          <w:w w:val="105"/>
        </w:rPr>
        <w:t>All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SPICE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resources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available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Centre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for Learning Technology at The University of Western Australia (“UWA”). Selected SPICE resources are available through the websites of Australian State and Territory Education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Authorities.</w:t>
      </w:r>
    </w:p>
    <w:p>
      <w:pPr>
        <w:pStyle w:val="BodyText"/>
        <w:spacing w:line="249" w:lineRule="auto" w:before="117"/>
        <w:ind w:left="105"/>
      </w:pPr>
      <w:r>
        <w:rPr>
          <w:color w:val="231F20"/>
          <w:w w:val="105"/>
        </w:rPr>
        <w:t>Copyright of SPICE Resources belongs to The University of Western Australia unless otherwise indicated.</w:t>
      </w:r>
    </w:p>
    <w:p>
      <w:pPr>
        <w:pStyle w:val="BodyText"/>
        <w:spacing w:line="249" w:lineRule="auto" w:before="116"/>
        <w:ind w:left="105" w:right="193"/>
      </w:pPr>
      <w:r>
        <w:rPr>
          <w:color w:val="231F20"/>
          <w:w w:val="110"/>
        </w:rPr>
        <w:t>Teachers and students at Australian schools are granted permission to reproduce, edit, recompile and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include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derivative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works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resources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subject to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conditions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detailed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spice.wa.edu.au/usage.</w:t>
      </w:r>
    </w:p>
    <w:p>
      <w:pPr>
        <w:pStyle w:val="BodyText"/>
        <w:spacing w:line="249" w:lineRule="auto" w:before="116"/>
        <w:ind w:left="105"/>
      </w:pPr>
      <w:r>
        <w:rPr>
          <w:color w:val="231F20"/>
          <w:w w:val="105"/>
        </w:rPr>
        <w:t>All questions involving copyright and use should be directed to SPICE at UWA.</w:t>
      </w:r>
    </w:p>
    <w:p>
      <w:pPr>
        <w:pStyle w:val="BodyText"/>
        <w:spacing w:line="249" w:lineRule="auto" w:before="115"/>
        <w:ind w:left="105" w:right="2431"/>
      </w:pPr>
      <w:r>
        <w:rPr>
          <w:color w:val="231F20"/>
        </w:rPr>
        <w:t>Web: spice.wa.edu.au Email: </w:t>
      </w:r>
      <w:hyperlink r:id="rId10">
        <w:r>
          <w:rPr>
            <w:color w:val="231F20"/>
          </w:rPr>
          <w:t>spice@uwa.edu.au</w:t>
        </w:r>
      </w:hyperlink>
      <w:r>
        <w:rPr>
          <w:color w:val="231F20"/>
        </w:rPr>
        <w:t> Phone: (08) 6488 3917</w:t>
      </w:r>
    </w:p>
    <w:p>
      <w:pPr>
        <w:pStyle w:val="BodyText"/>
        <w:spacing w:line="249" w:lineRule="auto" w:before="115"/>
        <w:ind w:left="105" w:right="1326"/>
      </w:pPr>
      <w:r>
        <w:rPr>
          <w:color w:val="231F20"/>
          <w:w w:val="110"/>
        </w:rPr>
        <w:t>Centre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32"/>
          <w:w w:val="110"/>
        </w:rPr>
        <w:t> </w:t>
      </w:r>
      <w:r>
        <w:rPr>
          <w:color w:val="231F20"/>
          <w:w w:val="110"/>
        </w:rPr>
        <w:t>Technology</w:t>
      </w:r>
      <w:r>
        <w:rPr>
          <w:color w:val="231F20"/>
          <w:spacing w:val="-33"/>
          <w:w w:val="110"/>
        </w:rPr>
        <w:t> </w:t>
      </w:r>
      <w:r>
        <w:rPr>
          <w:color w:val="231F20"/>
          <w:w w:val="110"/>
        </w:rPr>
        <w:t>(M016) The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University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Western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Australia</w:t>
      </w:r>
    </w:p>
    <w:p>
      <w:pPr>
        <w:pStyle w:val="BodyText"/>
        <w:spacing w:before="2"/>
        <w:ind w:left="105"/>
      </w:pPr>
      <w:r>
        <w:rPr>
          <w:color w:val="231F20"/>
          <w:w w:val="110"/>
        </w:rPr>
        <w:t>35 Stirling Highway</w:t>
      </w:r>
    </w:p>
    <w:p>
      <w:pPr>
        <w:pStyle w:val="BodyText"/>
        <w:spacing w:before="9"/>
        <w:ind w:left="105"/>
      </w:pPr>
      <w:r>
        <w:rPr/>
        <w:pict>
          <v:group style="position:absolute;margin-left:105.850998pt;margin-top:46.995991pt;width:405.3pt;height:8.3pt;mso-position-horizontal-relative:page;mso-position-vertical-relative:paragraph;z-index:1168" coordorigin="2117,940" coordsize="8106,166">
            <v:rect style="position:absolute;left:9598;top:939;width:132;height:166" filled="true" fillcolor="#f15638" stroked="false">
              <v:fill type="solid"/>
            </v:rect>
            <v:rect style="position:absolute;left:9729;top:939;width:192;height:166" filled="true" fillcolor="#f36e3a" stroked="false">
              <v:fill type="solid"/>
            </v:rect>
            <v:rect style="position:absolute;left:9921;top:939;width:301;height:166" filled="true" fillcolor="#f99b1c" stroked="false">
              <v:fill type="solid"/>
            </v:rect>
            <v:rect style="position:absolute;left:9274;top:939;width:153;height:166" filled="true" fillcolor="#f15638" stroked="false">
              <v:fill type="solid"/>
            </v:rect>
            <v:rect style="position:absolute;left:9426;top:939;width:172;height:166" filled="true" fillcolor="#f99b1c" stroked="false">
              <v:fill type="solid"/>
            </v:rect>
            <v:shape style="position:absolute;left:6539;top:939;width:2550;height:166" coordorigin="6539,940" coordsize="2550,166" path="m6670,940l6539,940,6539,1106,6670,1106,6670,940m7271,940l7162,940,7162,1106,7271,1106,7271,940m8013,940l7937,940,7937,1106,8013,1106,8013,940m8347,940l8199,940,8199,1106,8347,1106,8347,940m9088,940l9013,940,9013,1106,9088,1106,9088,940e" filled="true" fillcolor="#f15638" stroked="false">
              <v:path arrowok="t"/>
              <v:fill type="solid"/>
            </v:shape>
            <v:rect style="position:absolute;left:6670;top:939;width:192;height:166" filled="true" fillcolor="#f36e3a" stroked="false">
              <v:fill type="solid"/>
            </v:rect>
            <v:rect style="position:absolute;left:6861;top:939;width:301;height:166" filled="true" fillcolor="#f99b1c" stroked="false">
              <v:fill type="solid"/>
            </v:rect>
            <v:rect style="position:absolute;left:6152;top:939;width:213;height:166" filled="true" fillcolor="#f15638" stroked="false">
              <v:fill type="solid"/>
            </v:rect>
            <v:rect style="position:absolute;left:6364;top:939;width:175;height:166" filled="true" fillcolor="#f99b1c" stroked="false">
              <v:fill type="solid"/>
            </v:rect>
            <v:rect style="position:absolute;left:5389;top:939;width:97;height:166" filled="true" fillcolor="#f15638" stroked="false">
              <v:fill type="solid"/>
            </v:rect>
            <v:rect style="position:absolute;left:5485;top:939;width:377;height:166" filled="true" fillcolor="#f99b1c" stroked="false">
              <v:fill type="solid"/>
            </v:rect>
            <v:rect style="position:absolute;left:5862;top:939;width:291;height:166" filled="true" fillcolor="#f36e3a" stroked="false">
              <v:fill type="solid"/>
            </v:rect>
            <v:rect style="position:absolute;left:4729;top:939;width:198;height:166" filled="true" fillcolor="#f15638" stroked="false">
              <v:fill type="solid"/>
            </v:rect>
            <v:rect style="position:absolute;left:4927;top:939;width:138;height:166" filled="true" fillcolor="#f99b1c" stroked="false">
              <v:fill type="solid"/>
            </v:rect>
            <v:rect style="position:absolute;left:4297;top:939;width:235;height:166" filled="true" fillcolor="#f15638" stroked="false">
              <v:fill type="solid"/>
            </v:rect>
            <v:rect style="position:absolute;left:4531;top:939;width:198;height:166" filled="true" fillcolor="#f99b1c" stroked="false">
              <v:fill type="solid"/>
            </v:rect>
            <v:rect style="position:absolute;left:5064;top:939;width:325;height:166" filled="true" fillcolor="#f36e3a" stroked="false">
              <v:fill type="solid"/>
            </v:rect>
            <v:rect style="position:absolute;left:7270;top:939;width:377;height:166" filled="true" fillcolor="#f99b1c" stroked="false">
              <v:fill type="solid"/>
            </v:rect>
            <v:rect style="position:absolute;left:7647;top:939;width:291;height:166" filled="true" fillcolor="#f36e3a" stroked="false">
              <v:fill type="solid"/>
            </v:rect>
            <v:rect style="position:absolute;left:8012;top:939;width:187;height:166" filled="true" fillcolor="#f99b1c" stroked="false">
              <v:fill type="solid"/>
            </v:rect>
            <v:shape style="position:absolute;left:2794;top:939;width:838;height:166" coordorigin="2794,940" coordsize="838,166" path="m2925,940l2794,940,2794,1106,2925,1106,2925,940m3631,940l3417,940,3417,1106,3631,1106,3631,940e" filled="true" fillcolor="#f15638" stroked="false">
              <v:path arrowok="t"/>
              <v:fill type="solid"/>
            </v:shape>
            <v:rect style="position:absolute;left:2925;top:939;width:192;height:166" filled="true" fillcolor="#f36e3a" stroked="false">
              <v:fill type="solid"/>
            </v:rect>
            <v:rect style="position:absolute;left:3116;top:939;width:301;height:166" filled="true" fillcolor="#f99b1c" stroked="false">
              <v:fill type="solid"/>
            </v:rect>
            <v:rect style="position:absolute;left:2407;top:939;width:215;height:166" filled="true" fillcolor="#f15638" stroked="false">
              <v:fill type="solid"/>
            </v:rect>
            <v:rect style="position:absolute;left:2622;top:939;width:172;height:166" filled="true" fillcolor="#f99b1c" stroked="false">
              <v:fill type="solid"/>
            </v:rect>
            <v:rect style="position:absolute;left:2117;top:939;width:291;height:166" filled="true" fillcolor="#f36e3a" stroked="false">
              <v:fill type="solid"/>
            </v:rect>
            <v:rect style="position:absolute;left:3631;top:939;width:352;height:166" filled="true" fillcolor="#f99b1c" stroked="false">
              <v:fill type="solid"/>
            </v:rect>
            <v:rect style="position:absolute;left:3983;top:939;width:315;height:166" filled="true" fillcolor="#f36e3a" stroked="false">
              <v:fill type="solid"/>
            </v:rect>
            <v:rect style="position:absolute;left:8346;top:939;width:377;height:166" filled="true" fillcolor="#f99b1c" stroked="false">
              <v:fill type="solid"/>
            </v:rect>
            <v:rect style="position:absolute;left:8722;top:939;width:291;height:166" filled="true" fillcolor="#f36e3a" stroked="false">
              <v:fill type="solid"/>
            </v:rect>
            <v:rect style="position:absolute;left:9088;top:939;width:187;height:166" filled="true" fillcolor="#f99b1c" stroked="false">
              <v:fill type="solid"/>
            </v:rect>
            <w10:wrap type="none"/>
          </v:group>
        </w:pict>
      </w:r>
      <w:r>
        <w:rPr>
          <w:color w:val="231F20"/>
          <w:w w:val="105"/>
        </w:rPr>
        <w:t>Crawley WA 6009</w:t>
      </w:r>
    </w:p>
    <w:sectPr>
      <w:type w:val="continuous"/>
      <w:pgSz w:w="11910" w:h="16840"/>
      <w:pgMar w:top="760" w:bottom="920" w:left="1020" w:right="1000"/>
      <w:cols w:num="2" w:equalWidth="0">
        <w:col w:w="4592" w:space="510"/>
        <w:col w:w="478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26007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166.95pt;height:23.2pt;mso-position-horizontal-relative:page;mso-position-vertical-relative:page;z-index:-942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2011 The University of Western Australia,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for conditions of use see spice.wa.edu.au/usage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Education, Western Australia</w:t>
                </w:r>
              </w:p>
            </w:txbxContent>
          </v:textbox>
          <w10:wrap type="none"/>
        </v:shape>
      </w:pict>
    </w:r>
    <w:r>
      <w:rPr/>
      <w:pict>
        <v:shape style="position:absolute;margin-left:307.343292pt;margin-top:793.477295pt;width:205.75pt;height:16pt;mso-position-horizontal-relative:page;mso-position-vertical-relative:page;z-index:-9400" type="#_x0000_t202" filled="false" stroked="false">
          <v:textbox inset="0,0,0,0">
            <w:txbxContent>
              <w:p>
                <w:pPr>
                  <w:spacing w:line="249" w:lineRule="auto" w:before="16"/>
                  <w:ind w:left="20" w:right="34" w:firstLine="2827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ast0658 | version 1.0 Geothermal energy 4: Sustainable energy sources (teachers guide) | 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99" w:hanging="171"/>
      </w:pPr>
      <w:rPr>
        <w:rFonts w:hint="default" w:ascii="Arial" w:hAnsi="Arial" w:eastAsia="Arial" w:cs="Arial"/>
        <w:color w:val="231F20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748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96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44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93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41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89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38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86" w:hanging="17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100"/>
      <w:ind w:left="129"/>
      <w:outlineLvl w:val="1"/>
    </w:pPr>
    <w:rPr>
      <w:rFonts w:ascii="Arial" w:hAnsi="Arial" w:eastAsia="Arial" w:cs="Arial"/>
      <w:sz w:val="26"/>
      <w:szCs w:val="26"/>
    </w:rPr>
  </w:style>
  <w:style w:styleId="ListParagraph" w:type="paragraph">
    <w:name w:val="List Paragraph"/>
    <w:basedOn w:val="Normal"/>
    <w:uiPriority w:val="1"/>
    <w:qFormat/>
    <w:pPr>
      <w:spacing w:before="59"/>
      <w:ind w:left="299" w:hanging="17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46"/>
      <w:ind w:left="80"/>
    </w:pPr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mailto:spice@uwa.edu.au" TargetMode="External"/><Relationship Id="rId1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2020-04-02T03:46:33Z</dcterms:created>
  <dcterms:modified xsi:type="dcterms:W3CDTF">2020-04-02T03:46:33Z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2011-07-26T00:00:00Z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2020-04-02T00:00:00Z</vt:filetime>
  </property>
</Properties>
</file>