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09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12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pict>
          <v:group style="width:482.25pt;height:100pt;mso-position-horizontal-relative:char;mso-position-vertical-relative:line" coordorigin="0,0" coordsize="9645,2000">
            <v:shape style="position:absolute;left:0;top:137;width:9638;height:1829" type="#_x0000_t75" stroked="false">
              <v:imagedata r:id="rId7" o:title=""/>
            </v:shape>
            <v:rect style="position:absolute;left:6123;top:674;width:3521;height:1325" filled="true" fillcolor="#231f20" stroked="false">
              <v:fill opacity="49152f" type="solid"/>
            </v:rect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6060;top:557;width:3379;height:1188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2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95"/>
                        <w:sz w:val="40"/>
                      </w:rPr>
                      <w:t>Gene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40"/>
                      </w:rPr>
                      <w:t>expression</w:t>
                    </w:r>
                    <w:r>
                      <w:rPr>
                        <w:b/>
                        <w:color w:val="FFFFFF"/>
                        <w:spacing w:val="15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40"/>
                      </w:rPr>
                      <w:t>4: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pacing w:val="-14"/>
                        <w:w w:val="95"/>
                        <w:sz w:val="54"/>
                      </w:rPr>
                      <w:t>Gene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w w:val="95"/>
                        <w:sz w:val="54"/>
                      </w:rPr>
                      <w:t>glossary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 w:after="1"/>
        <w:rPr>
          <w:rFonts w:ascii="Times New Roman"/>
          <w:sz w:val="14"/>
        </w:rPr>
      </w:pPr>
    </w:p>
    <w:tbl>
      <w:tblPr>
        <w:tblW w:w="0" w:type="auto"/>
        <w:jc w:val="left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7934"/>
      </w:tblGrid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line="249" w:lineRule="auto"/>
              <w:ind w:right="6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alternative splicing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Introns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removed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differentially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resulting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variant mRNA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products.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amino acid chain</w:t>
            </w:r>
          </w:p>
        </w:tc>
        <w:tc>
          <w:tcPr>
            <w:tcW w:w="79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During translation amino acids form chains which are folded into proteins.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amino acid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organic compound used to build protein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line="249" w:lineRule="auto"/>
              <w:ind w:right="3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cell differentiation</w:t>
            </w:r>
          </w:p>
        </w:tc>
        <w:tc>
          <w:tcPr>
            <w:tcW w:w="79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development of a cell type with a specific form and function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cell membrane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membrane that protects the cell from the external environment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chromosome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11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structures,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nucleus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animals,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carry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genetic information.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codon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three nucleotide unit of genetic material in mRNA that codes for an amino acid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cytoplasm</w:t>
            </w:r>
          </w:p>
        </w:tc>
        <w:tc>
          <w:tcPr>
            <w:tcW w:w="79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portion of the cell containing organelle and other particles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DNA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deoxyribonucleic acid, the genetic instructions of living organisms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line="249" w:lineRule="auto"/>
              <w:ind w:right="6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elongation factors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 are regulating protein molecules that help with addition of nucleotides during transcription, and elongation of an amino acid chain during translation.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enhancer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nucleotide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DNA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initiate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transcription factors to </w:t>
            </w:r>
            <w:r>
              <w:rPr>
                <w:color w:val="231F20"/>
                <w:spacing w:val="3"/>
                <w:w w:val="110"/>
                <w:sz w:val="18"/>
              </w:rPr>
              <w:t>start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transcription.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eukaryotic</w:t>
            </w:r>
          </w:p>
        </w:tc>
        <w:tc>
          <w:tcPr>
            <w:tcW w:w="79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any living organism in which cells contain a nucleus and other organelles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exon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nucleotide sequence of a gene that contains information needed to build a protein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gene expression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is the activity of a gene within a cell: decoding of DNA to make a molecular product, such as a protein.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gene regulation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control of gene expression — turning genes within cells ‘on’ and ‘off’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gene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heredity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DNA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instructions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build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particular molecular </w:t>
            </w:r>
            <w:r>
              <w:rPr>
                <w:color w:val="231F20"/>
                <w:spacing w:val="2"/>
                <w:w w:val="110"/>
                <w:sz w:val="18"/>
              </w:rPr>
              <w:t>product, </w:t>
            </w:r>
            <w:r>
              <w:rPr>
                <w:color w:val="231F20"/>
                <w:w w:val="110"/>
                <w:sz w:val="18"/>
              </w:rPr>
              <w:t>such as a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protein.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growth hormone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hormone that stimulates cell growth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intron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segment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part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primary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removed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splicing machinery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mature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mRNA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leucocyte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/>
              <w:ind w:right="6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immune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system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protects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against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disease.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referred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white blood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cell.</w:t>
            </w:r>
          </w:p>
        </w:tc>
      </w:tr>
      <w:tr>
        <w:trPr>
          <w:trHeight w:val="793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mediator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regulating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complex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(multiple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molecules)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enhancer region on DNA and the transcription initiation complex formed prior to the </w:t>
            </w:r>
            <w:r>
              <w:rPr>
                <w:color w:val="231F20"/>
                <w:spacing w:val="3"/>
                <w:w w:val="110"/>
                <w:sz w:val="18"/>
              </w:rPr>
              <w:t>start </w:t>
            </w:r>
            <w:r>
              <w:rPr>
                <w:color w:val="231F20"/>
                <w:w w:val="110"/>
                <w:sz w:val="18"/>
              </w:rPr>
              <w:t>of transcription.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mRNA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RNA: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copy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genetic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instructions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DNA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cytoplasm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read by the ribosome to make a</w:t>
            </w:r>
            <w:r>
              <w:rPr>
                <w:color w:val="231F20"/>
                <w:spacing w:val="-3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protein.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methylated cap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111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During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transcription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5’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protected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addition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7-methylguanosin cap to the first transcribed</w:t>
            </w:r>
            <w:r>
              <w:rPr>
                <w:color w:val="231F20"/>
                <w:spacing w:val="-4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nucleotide.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motif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specific nucleotide sequence recognised by regulating molecules, such as transcription factors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nucleotide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building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block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DNA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RNA,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made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nitrogenous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(adenine,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cytosine, thymine,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guanine),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five-carbon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sugar,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phosphate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</w:sectPr>
      </w:pPr>
    </w:p>
    <w:tbl>
      <w:tblPr>
        <w:tblW w:w="0" w:type="auto"/>
        <w:jc w:val="left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7934"/>
      </w:tblGrid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sz w:val="18"/>
              </w:rPr>
              <w:t>nucleus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membrane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enclosed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organelle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eukaryotic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most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genetic material in the form 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DNA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pathogen</w:t>
            </w:r>
          </w:p>
        </w:tc>
        <w:tc>
          <w:tcPr>
            <w:tcW w:w="7934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disease-causing infectious agent such as a virus or parasite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polyadenylation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addition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poly-A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tail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(long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adenine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bases)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transcription protects mRNA from cellular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breakdown.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promoter</w:t>
            </w:r>
          </w:p>
        </w:tc>
        <w:tc>
          <w:tcPr>
            <w:tcW w:w="7934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region of DNA that RNA polymerase binds and initiates transcription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line="249" w:lineRule="auto"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protein-coding gene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genetic sequence that contains the instructions for making a protein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protein</w:t>
            </w:r>
          </w:p>
        </w:tc>
        <w:tc>
          <w:tcPr>
            <w:tcW w:w="7934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 macromolecules of the cell consist of a folded chain of amino acids.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6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regulating proteins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proteins that regulate/control the expression of different genes within the cell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line="249" w:lineRule="auto" w:before="75"/>
              <w:ind w:right="6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regulating </w:t>
            </w:r>
            <w:r>
              <w:rPr>
                <w:color w:val="231F20"/>
                <w:sz w:val="18"/>
              </w:rPr>
              <w:t>sequences</w:t>
            </w:r>
          </w:p>
        </w:tc>
        <w:tc>
          <w:tcPr>
            <w:tcW w:w="7934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 nucleotide sequences of DNA control the expression of different genes within a cell.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ribosome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2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machine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formed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instructions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 to build an amino acid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chain.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sz w:val="18"/>
              </w:rPr>
              <w:t>RNA</w:t>
            </w:r>
          </w:p>
        </w:tc>
        <w:tc>
          <w:tcPr>
            <w:tcW w:w="7934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ribonucleic acid, single-stranded molecule transcribed from DNA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spliceosome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2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complex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removes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introns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before translation.</w:t>
            </w:r>
          </w:p>
        </w:tc>
      </w:tr>
      <w:tr>
        <w:trPr>
          <w:trHeight w:val="361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splicing</w:t>
            </w:r>
          </w:p>
        </w:tc>
        <w:tc>
          <w:tcPr>
            <w:tcW w:w="7934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process that removes introns from messenger RNA before translation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start codon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8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start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codon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mRNA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translated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ribosome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amino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acid.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start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translation.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stop codon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 w:before="75"/>
              <w:ind w:right="7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stop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final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codon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mRNA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translated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ribosome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amino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translation.</w:t>
            </w:r>
          </w:p>
        </w:tc>
      </w:tr>
      <w:tr>
        <w:trPr>
          <w:trHeight w:val="577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line="249" w:lineRule="auto"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termination sequence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9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nucleotide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marks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signals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transcription.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line="249" w:lineRule="auto" w:before="75"/>
              <w:ind w:right="4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transcription </w:t>
            </w:r>
            <w:r>
              <w:rPr>
                <w:color w:val="231F20"/>
                <w:w w:val="115"/>
                <w:sz w:val="18"/>
              </w:rPr>
              <w:t>factor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 w:before="75"/>
              <w:ind w:right="9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regulates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expression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binding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nucleotide sequences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DNA,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bringing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polymerase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promoter.</w:t>
            </w:r>
          </w:p>
        </w:tc>
      </w:tr>
      <w:tr>
        <w:trPr>
          <w:trHeight w:val="793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line="249" w:lineRule="auto" w:before="75"/>
              <w:ind w:right="4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transcription </w:t>
            </w:r>
            <w:r>
              <w:rPr>
                <w:color w:val="231F20"/>
                <w:w w:val="115"/>
                <w:sz w:val="18"/>
              </w:rPr>
              <w:t>initiation complex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complex of molecules forms prior to transcription beginning.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transcription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 w:before="75"/>
              <w:ind w:right="2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decoding of DNA by RNA polymerase to make messenger RNA takes place in the cell nucleus.</w:t>
            </w:r>
          </w:p>
        </w:tc>
      </w:tr>
      <w:tr>
        <w:trPr>
          <w:trHeight w:val="361" w:hRule="atLeast"/>
        </w:trPr>
        <w:tc>
          <w:tcPr>
            <w:tcW w:w="1698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transfer RNA</w:t>
            </w:r>
          </w:p>
        </w:tc>
        <w:tc>
          <w:tcPr>
            <w:tcW w:w="7934" w:type="dxa"/>
            <w:shd w:val="clear" w:color="auto" w:fill="EAF3E6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RNA molecule that carries amino acids to the ribosome during translation</w:t>
            </w:r>
          </w:p>
        </w:tc>
      </w:tr>
      <w:tr>
        <w:trPr>
          <w:trHeight w:val="577" w:hRule="atLeast"/>
        </w:trPr>
        <w:tc>
          <w:tcPr>
            <w:tcW w:w="1698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translation</w:t>
            </w:r>
          </w:p>
        </w:tc>
        <w:tc>
          <w:tcPr>
            <w:tcW w:w="7934" w:type="dxa"/>
          </w:tcPr>
          <w:p>
            <w:pPr>
              <w:pStyle w:val="TableParagraph"/>
              <w:spacing w:line="249" w:lineRule="auto" w:before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reading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messenger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RNA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ribosome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amino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protein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  <w:r>
        <w:rPr/>
        <w:pict>
          <v:group style="position:absolute;margin-left:105.850998pt;margin-top:10.264002pt;width:405.3pt;height:8.3pt;mso-position-horizontal-relative:page;mso-position-vertical-relative:paragraph;z-index:-880;mso-wrap-distance-left:0;mso-wrap-distance-right:0" coordorigin="2117,205" coordsize="8106,166">
            <v:rect style="position:absolute;left:9598;top:205;width:132;height:166" filled="true" fillcolor="#f15638" stroked="false">
              <v:fill type="solid"/>
            </v:rect>
            <v:rect style="position:absolute;left:9729;top:205;width:192;height:166" filled="true" fillcolor="#f36e3a" stroked="false">
              <v:fill type="solid"/>
            </v:rect>
            <v:rect style="position:absolute;left:9921;top:205;width:301;height:166" filled="true" fillcolor="#f99b1c" stroked="false">
              <v:fill type="solid"/>
            </v:rect>
            <v:rect style="position:absolute;left:9274;top:205;width:153;height:166" filled="true" fillcolor="#f15638" stroked="false">
              <v:fill type="solid"/>
            </v:rect>
            <v:rect style="position:absolute;left:9426;top:205;width:172;height:166" filled="true" fillcolor="#f99b1c" stroked="false">
              <v:fill type="solid"/>
            </v:rect>
            <v:rect style="position:absolute;left:9012;top:205;width:76;height:166" filled="true" fillcolor="#f15638" stroked="false">
              <v:fill type="solid"/>
            </v:rect>
            <v:rect style="position:absolute;left:8199;top:205;width:148;height:166" filled="true" fillcolor="#f15638" stroked="false">
              <v:fill type="solid"/>
            </v:rect>
            <v:rect style="position:absolute;left:7937;top:205;width:76;height:166" filled="true" fillcolor="#f15638" stroked="false">
              <v:fill type="solid"/>
            </v:rect>
            <v:rect style="position:absolute;left:7162;top:205;width:109;height:166" filled="true" fillcolor="#f15638" stroked="false">
              <v:fill type="solid"/>
            </v:rect>
            <v:rect style="position:absolute;left:6539;top:205;width:132;height:166" filled="true" fillcolor="#f15638" stroked="false">
              <v:fill type="solid"/>
            </v:rect>
            <v:rect style="position:absolute;left:6670;top:205;width:192;height:166" filled="true" fillcolor="#f36e3a" stroked="false">
              <v:fill type="solid"/>
            </v:rect>
            <v:rect style="position:absolute;left:6861;top:205;width:301;height:166" filled="true" fillcolor="#f99b1c" stroked="false">
              <v:fill type="solid"/>
            </v:rect>
            <v:rect style="position:absolute;left:6152;top:205;width:213;height:166" filled="true" fillcolor="#f15638" stroked="false">
              <v:fill type="solid"/>
            </v:rect>
            <v:rect style="position:absolute;left:6364;top:205;width:175;height:166" filled="true" fillcolor="#f99b1c" stroked="false">
              <v:fill type="solid"/>
            </v:rect>
            <v:rect style="position:absolute;left:5389;top:205;width:97;height:166" filled="true" fillcolor="#f15638" stroked="false">
              <v:fill type="solid"/>
            </v:rect>
            <v:rect style="position:absolute;left:5485;top:205;width:377;height:166" filled="true" fillcolor="#f99b1c" stroked="false">
              <v:fill type="solid"/>
            </v:rect>
            <v:rect style="position:absolute;left:5862;top:205;width:291;height:166" filled="true" fillcolor="#f36e3a" stroked="false">
              <v:fill type="solid"/>
            </v:rect>
            <v:rect style="position:absolute;left:4729;top:205;width:198;height:166" filled="true" fillcolor="#f15638" stroked="false">
              <v:fill type="solid"/>
            </v:rect>
            <v:rect style="position:absolute;left:4927;top:205;width:138;height:166" filled="true" fillcolor="#f99b1c" stroked="false">
              <v:fill type="solid"/>
            </v:rect>
            <v:rect style="position:absolute;left:4297;top:205;width:235;height:166" filled="true" fillcolor="#f15638" stroked="false">
              <v:fill type="solid"/>
            </v:rect>
            <v:rect style="position:absolute;left:4531;top:205;width:198;height:166" filled="true" fillcolor="#f99b1c" stroked="false">
              <v:fill type="solid"/>
            </v:rect>
            <v:rect style="position:absolute;left:5064;top:205;width:325;height:166" filled="true" fillcolor="#f36e3a" stroked="false">
              <v:fill type="solid"/>
            </v:rect>
            <v:rect style="position:absolute;left:7270;top:205;width:377;height:166" filled="true" fillcolor="#f99b1c" stroked="false">
              <v:fill type="solid"/>
            </v:rect>
            <v:rect style="position:absolute;left:7647;top:205;width:291;height:166" filled="true" fillcolor="#f36e3a" stroked="false">
              <v:fill type="solid"/>
            </v:rect>
            <v:rect style="position:absolute;left:8012;top:205;width:187;height:166" filled="true" fillcolor="#f99b1c" stroked="false">
              <v:fill type="solid"/>
            </v:rect>
            <v:rect style="position:absolute;left:3417;top:205;width:214;height:166" filled="true" fillcolor="#f15638" stroked="false">
              <v:fill type="solid"/>
            </v:rect>
            <v:rect style="position:absolute;left:2794;top:205;width:132;height:166" filled="true" fillcolor="#f15638" stroked="false">
              <v:fill type="solid"/>
            </v:rect>
            <v:rect style="position:absolute;left:2925;top:205;width:192;height:166" filled="true" fillcolor="#f36e3a" stroked="false">
              <v:fill type="solid"/>
            </v:rect>
            <v:rect style="position:absolute;left:3116;top:205;width:301;height:166" filled="true" fillcolor="#f99b1c" stroked="false">
              <v:fill type="solid"/>
            </v:rect>
            <v:rect style="position:absolute;left:2407;top:205;width:215;height:166" filled="true" fillcolor="#f15638" stroked="false">
              <v:fill type="solid"/>
            </v:rect>
            <v:rect style="position:absolute;left:2622;top:205;width:172;height:166" filled="true" fillcolor="#f99b1c" stroked="false">
              <v:fill type="solid"/>
            </v:rect>
            <v:rect style="position:absolute;left:2117;top:205;width:291;height:166" filled="true" fillcolor="#f36e3a" stroked="false">
              <v:fill type="solid"/>
            </v:rect>
            <v:rect style="position:absolute;left:3631;top:205;width:352;height:166" filled="true" fillcolor="#f99b1c" stroked="false">
              <v:fill type="solid"/>
            </v:rect>
            <v:rect style="position:absolute;left:3983;top:205;width:315;height:166" filled="true" fillcolor="#f36e3a" stroked="false">
              <v:fill type="solid"/>
            </v:rect>
            <v:rect style="position:absolute;left:8346;top:205;width:377;height:166" filled="true" fillcolor="#f99b1c" stroked="false">
              <v:fill type="solid"/>
            </v:rect>
            <v:rect style="position:absolute;left:8722;top:205;width:291;height:166" filled="true" fillcolor="#f36e3a" stroked="false">
              <v:fill type="solid"/>
            </v:rect>
            <v:rect style="position:absolute;left:9088;top:205;width:187;height:166" filled="true" fillcolor="#f99b1c" stroked="false">
              <v:fill type="solid"/>
            </v:rect>
            <w10:wrap type="topAndBottom"/>
          </v:group>
        </w:pict>
      </w:r>
    </w:p>
    <w:sectPr>
      <w:footerReference w:type="default" r:id="rId8"/>
      <w:pgSz w:w="11910" w:h="16840"/>
      <w:pgMar w:footer="784" w:header="0" w:top="84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4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49.75pt;height:23.2pt;mso-position-horizontal-relative:page;mso-position-vertical-relative:page;z-index:-12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  <w:spacing w:val="-3"/>
                  </w:rPr>
                  <w:t>ast1161</w:t>
                </w:r>
                <w:r>
                  <w:rPr>
                    <w:color w:val="231F20"/>
                    <w:spacing w:val="10"/>
                  </w:rPr>
                  <w:t> </w:t>
                </w:r>
                <w:r>
                  <w:rPr>
                    <w:color w:val="231F20"/>
                  </w:rPr>
                  <w:t>|</w:t>
                </w:r>
                <w:r>
                  <w:rPr>
                    <w:color w:val="231F20"/>
                    <w:spacing w:val="10"/>
                  </w:rPr>
                  <w:t> </w:t>
                </w:r>
                <w:r>
                  <w:rPr>
                    <w:color w:val="231F20"/>
                  </w:rPr>
                  <w:t>Gene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expression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4: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Gene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  <w:spacing w:val="2"/>
                  </w:rPr>
                  <w:t>glossary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(fact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sheet)</w:t>
                </w:r>
              </w:p>
              <w:p>
                <w:pPr>
                  <w:pStyle w:val="BodyText"/>
                  <w:spacing w:line="249" w:lineRule="auto" w:before="6"/>
                  <w:ind w:left="20" w:right="305"/>
                </w:pPr>
                <w:r>
                  <w:rPr>
                    <w:color w:val="231F20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99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  <w:p>
                <w:pPr>
                  <w:pStyle w:val="BodyText"/>
                  <w:spacing w:before="1"/>
                  <w:ind w:left="1528"/>
                </w:pPr>
                <w:r>
                  <w:rPr>
                    <w:color w:val="231F20"/>
                    <w:w w:val="95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</w:rPr>
                  <w:t> </w:t>
                </w:r>
                <w:r>
                  <w:rPr>
                    <w:color w:val="231F20"/>
                    <w:w w:val="95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</w:rPr>
                  <w:t> </w:t>
                </w:r>
                <w:r>
                  <w:rPr>
                    <w:color w:val="231F20"/>
                    <w:spacing w:val="3"/>
                    <w:w w:val="95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1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51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49.75pt;height:23.2pt;mso-position-horizontal-relative:page;mso-position-vertical-relative:page;z-index:-119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  <w:spacing w:val="-3"/>
                  </w:rPr>
                  <w:t>ast1161</w:t>
                </w:r>
                <w:r>
                  <w:rPr>
                    <w:color w:val="231F20"/>
                    <w:spacing w:val="10"/>
                  </w:rPr>
                  <w:t> </w:t>
                </w:r>
                <w:r>
                  <w:rPr>
                    <w:color w:val="231F20"/>
                  </w:rPr>
                  <w:t>|</w:t>
                </w:r>
                <w:r>
                  <w:rPr>
                    <w:color w:val="231F20"/>
                    <w:spacing w:val="10"/>
                  </w:rPr>
                  <w:t> </w:t>
                </w:r>
                <w:r>
                  <w:rPr>
                    <w:color w:val="231F20"/>
                  </w:rPr>
                  <w:t>Gene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expression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4: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Gene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  <w:spacing w:val="2"/>
                  </w:rPr>
                  <w:t>glossary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(fact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sheet)</w:t>
                </w:r>
              </w:p>
              <w:p>
                <w:pPr>
                  <w:pStyle w:val="BodyText"/>
                  <w:spacing w:line="249" w:lineRule="auto" w:before="6"/>
                  <w:ind w:left="20" w:right="305"/>
                </w:pPr>
                <w:r>
                  <w:rPr>
                    <w:color w:val="231F20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89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2"/>
      <w:ind w:left="113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2020-04-02T01:26:29Z</dcterms:created>
  <dcterms:modified xsi:type="dcterms:W3CDTF">2020-04-02T01:26:29Z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