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3D6C70" w:rsidTr="00C63F31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 xml:space="preserve"> 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0C1586" w:rsidTr="000C1586">
        <w:trPr>
          <w:jc w:val="center"/>
        </w:trPr>
        <w:tc>
          <w:tcPr>
            <w:tcW w:w="1134" w:type="dxa"/>
            <w:tcBorders>
              <w:right w:val="nil"/>
            </w:tcBorders>
            <w:shd w:val="clear" w:color="auto" w:fill="21409A"/>
            <w:vAlign w:val="center"/>
          </w:tcPr>
          <w:p w:rsidR="000C1586" w:rsidRPr="00D70D57" w:rsidRDefault="000C1586" w:rsidP="000C1586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</w:tr>
      <w:tr w:rsidR="003D6C70" w:rsidTr="00C63F31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1, 2022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3D6C70" w:rsidTr="003D6C70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864EA4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3D6C70" w:rsidRPr="00864EA4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; 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3D6C70" w:rsidRPr="00C309C8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800BDA" w:rsidRDefault="00800BDA" w:rsidP="00800BDA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ENSC3024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800BDA" w:rsidRDefault="00800BDA" w:rsidP="00800BDA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Engineering Thermodynamics</w:t>
            </w:r>
          </w:p>
          <w:p w:rsidR="003D6C70" w:rsidRPr="00110EC7" w:rsidRDefault="00800BDA" w:rsidP="00800BDA">
            <w:pPr>
              <w:jc w:val="center"/>
              <w:rPr>
                <w:rFonts w:cstheme="minorHAnsi"/>
                <w:b/>
                <w:color w:val="FF0000"/>
                <w:szCs w:val="20"/>
              </w:rPr>
            </w:pPr>
            <w:proofErr w:type="spellStart"/>
            <w:r w:rsidRPr="007F2A30">
              <w:rPr>
                <w:b/>
                <w:i/>
                <w:sz w:val="16"/>
                <w:lang w:eastAsia="en-AU"/>
              </w:rPr>
              <w:t>Prereq</w:t>
            </w:r>
            <w:proofErr w:type="spellEnd"/>
            <w:r w:rsidRPr="007F2A30">
              <w:rPr>
                <w:b/>
                <w:i/>
                <w:sz w:val="16"/>
                <w:lang w:eastAsia="en-AU"/>
              </w:rPr>
              <w:t xml:space="preserve">:  </w:t>
            </w:r>
            <w:r>
              <w:rPr>
                <w:b/>
                <w:i/>
                <w:sz w:val="16"/>
                <w:lang w:eastAsia="en-AU"/>
              </w:rPr>
              <w:t xml:space="preserve">(CITS1001 or CITS2401), ENSC2004, MATH1011 &amp; (PHYS1030 or Physics ATAR) </w:t>
            </w:r>
            <w:r w:rsidRPr="007F2A30">
              <w:rPr>
                <w:b/>
                <w:i/>
                <w:sz w:val="16"/>
                <w:lang w:eastAsia="en-AU"/>
              </w:rPr>
              <w:t xml:space="preserve">APS: </w:t>
            </w:r>
            <w:r>
              <w:rPr>
                <w:b/>
                <w:i/>
                <w:sz w:val="16"/>
                <w:lang w:eastAsia="en-AU"/>
              </w:rPr>
              <w:t>PHYS1001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800BDA" w:rsidTr="00A82D80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800BDA" w:rsidRPr="00D70D57" w:rsidRDefault="00800BDA" w:rsidP="00800BDA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00BDA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00BDA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0BDA" w:rsidRPr="00C14416" w:rsidRDefault="00800BDA" w:rsidP="00C63F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800BDA" w:rsidRDefault="00800BDA" w:rsidP="00800BD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 xml:space="preserve"># ENSC3004 </w:t>
            </w:r>
          </w:p>
          <w:p w:rsidR="00800BDA" w:rsidRDefault="00800BDA" w:rsidP="00800BD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Solid Mechanics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ENSC2004, MATH1011 &amp; MATH1012</w:t>
            </w:r>
          </w:p>
        </w:tc>
      </w:tr>
      <w:tr w:rsidR="00800BDA" w:rsidTr="003D6C70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BDA" w:rsidRPr="00D70D57" w:rsidRDefault="00800BDA" w:rsidP="00800BDA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BDA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800BDA" w:rsidRDefault="00800BDA" w:rsidP="00800BD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BDA" w:rsidRPr="00977765" w:rsidRDefault="00800BDA" w:rsidP="00800BD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800BDA" w:rsidRPr="00977765" w:rsidRDefault="00800BDA" w:rsidP="00800BDA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800BDA" w:rsidRDefault="00800BDA" w:rsidP="00800BD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FF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BDA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800BDA" w:rsidRDefault="00800BDA" w:rsidP="00800BDA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800BDA" w:rsidRDefault="00800BDA" w:rsidP="00800BD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00BDA" w:rsidRDefault="00800BDA" w:rsidP="00800BDA">
            <w:pPr>
              <w:jc w:val="center"/>
              <w:rPr>
                <w:b/>
              </w:rPr>
            </w:pPr>
            <w:r>
              <w:rPr>
                <w:b/>
              </w:rPr>
              <w:t># MATH3023</w:t>
            </w:r>
          </w:p>
          <w:p w:rsidR="00800BDA" w:rsidRDefault="00800BDA" w:rsidP="00800BDA">
            <w:pPr>
              <w:jc w:val="center"/>
            </w:pPr>
            <w:r>
              <w:t>Advanced Mathematics Applications</w:t>
            </w:r>
          </w:p>
          <w:p w:rsidR="00800BDA" w:rsidRPr="00C14416" w:rsidRDefault="00800BDA" w:rsidP="00800BDA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MATH1011</w:t>
            </w:r>
            <w:r>
              <w:rPr>
                <w:b/>
                <w:i/>
                <w:sz w:val="16"/>
                <w:lang w:eastAsia="en-AU"/>
              </w:rPr>
              <w:br/>
            </w: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Coreq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MATH1012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4</w:t>
            </w:r>
          </w:p>
        </w:tc>
      </w:tr>
      <w:tr w:rsidR="003D6C70" w:rsidTr="00A82D80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C63F31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00BDA" w:rsidRDefault="00800BDA" w:rsidP="00800BDA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ENSC3003 </w:t>
            </w:r>
          </w:p>
          <w:p w:rsidR="00800BDA" w:rsidRDefault="00800BDA" w:rsidP="00800BDA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Fluid Mechanics</w:t>
            </w:r>
          </w:p>
          <w:p w:rsidR="003D6C70" w:rsidRPr="00C14416" w:rsidRDefault="00800BDA" w:rsidP="00800BD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ENSC2004 &amp; MATH1012</w:t>
            </w:r>
          </w:p>
        </w:tc>
      </w:tr>
      <w:tr w:rsidR="00C63F31" w:rsidTr="00C63F31">
        <w:trPr>
          <w:gridAfter w:val="1"/>
          <w:wAfter w:w="3402" w:type="dxa"/>
          <w:trHeight w:val="343"/>
          <w:jc w:val="center"/>
        </w:trPr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F31" w:rsidRPr="00C14416" w:rsidRDefault="00C63F31" w:rsidP="00CD719C">
            <w:pPr>
              <w:rPr>
                <w:rFonts w:cstheme="minorHAnsi"/>
                <w:b/>
              </w:rPr>
            </w:pPr>
            <w:r w:rsidRPr="009B6892">
              <w:rPr>
                <w:rFonts w:ascii="Source Sans Pro ExtraLight" w:hAnsi="Source Sans Pro ExtraLight"/>
                <w:i/>
                <w:sz w:val="16"/>
                <w:szCs w:val="16"/>
              </w:rPr>
              <w:t>**Unit is available in Semester 1 and Semester 2</w:t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F31" w:rsidRPr="00C14416" w:rsidRDefault="00C63F31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F31" w:rsidRDefault="00C63F31" w:rsidP="00CD719C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</w:p>
        </w:tc>
      </w:tr>
    </w:tbl>
    <w:p w:rsidR="009B223D" w:rsidRPr="009B6892" w:rsidRDefault="00CD719C" w:rsidP="009B223D">
      <w:pPr>
        <w:ind w:left="284"/>
        <w:rPr>
          <w:i/>
          <w:sz w:val="16"/>
          <w:szCs w:val="16"/>
        </w:rPr>
      </w:pP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C241EF" w:rsidRDefault="00C241EF" w:rsidP="00C241EF">
      <w:r>
        <w:t># Students wishing to proceed to MPE (Mechanical) complete the following units from the Mechanical Systems stream: ENSC3003, ENSC3004, ENSC3024 and MATH3023.</w:t>
      </w:r>
    </w:p>
    <w:p w:rsidR="00C241EF" w:rsidRDefault="00C241EF" w:rsidP="00C241EF">
      <w:r>
        <w:t xml:space="preserve">If students are not intending to proceed to the MPE, take four electives instead. </w:t>
      </w:r>
      <w:r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bookmarkStart w:id="0" w:name="_GoBack"/>
      <w:bookmarkEnd w:id="0"/>
    </w:p>
    <w:p w:rsidR="009B223D" w:rsidRDefault="009B223D" w:rsidP="001F1F6F">
      <w:pPr>
        <w:rPr>
          <w:rFonts w:cs="Source Sans Pro Light"/>
          <w:color w:val="000000"/>
          <w:sz w:val="18"/>
          <w:szCs w:val="18"/>
        </w:rPr>
      </w:pPr>
      <w:r>
        <w:rPr>
          <w:rFonts w:cs="Source Sans Pro Light"/>
          <w:color w:val="000000"/>
          <w:sz w:val="18"/>
          <w:szCs w:val="18"/>
        </w:rPr>
        <w:br/>
      </w:r>
    </w:p>
    <w:p w:rsidR="009B223D" w:rsidRPr="009B223D" w:rsidRDefault="009B223D" w:rsidP="003D6C70">
      <w:pPr>
        <w:widowControl w:val="0"/>
        <w:tabs>
          <w:tab w:val="left" w:pos="1005"/>
        </w:tabs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015712">
        <w:rPr>
          <w:rFonts w:cs="Source Sans Pro Light"/>
          <w:color w:val="000000"/>
          <w:sz w:val="18"/>
          <w:szCs w:val="18"/>
        </w:rPr>
        <w:t>The Rules for the Bachelor of A</w:t>
      </w:r>
      <w:r>
        <w:rPr>
          <w:rFonts w:cs="Source Sans Pro Light"/>
          <w:color w:val="000000"/>
          <w:sz w:val="18"/>
          <w:szCs w:val="18"/>
        </w:rPr>
        <w:t xml:space="preserve">utomation and Robotics/Automation and Robotics double major </w:t>
      </w:r>
      <w:r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824D22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Default="009B223D" w:rsidP="009B223D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</w:t>
        </w:r>
        <w:proofErr w:type="spellStart"/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unistart</w:t>
        </w:r>
        <w:proofErr w:type="spellEnd"/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9B223D" w:rsidRPr="006C6A88" w:rsidRDefault="009B223D" w:rsidP="009B223D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p w:rsidR="00824D22" w:rsidRDefault="00824D22" w:rsidP="009B223D">
      <w:pPr>
        <w:spacing w:after="160" w:line="259" w:lineRule="auto"/>
        <w:rPr>
          <w:rFonts w:ascii="Arial" w:hAnsi="Arial" w:cs="Arial"/>
          <w:color w:val="0000FF"/>
          <w:spacing w:val="-4"/>
          <w:w w:val="95"/>
          <w:szCs w:val="20"/>
          <w:u w:val="single"/>
        </w:rPr>
      </w:pPr>
    </w:p>
    <w:p w:rsidR="003209C7" w:rsidRDefault="003209C7" w:rsidP="001F1F6F">
      <w:pPr>
        <w:widowControl w:val="0"/>
        <w:autoSpaceDE w:val="0"/>
        <w:autoSpaceDN w:val="0"/>
        <w:adjustRightInd w:val="0"/>
        <w:ind w:right="220"/>
        <w:rPr>
          <w:rFonts w:ascii="Source Sans Pro Semibold" w:hAnsi="Source Sans Pro Semibold" w:cs="Source Sans Pro Semibold"/>
          <w:color w:val="000000"/>
          <w:sz w:val="18"/>
          <w:szCs w:val="18"/>
        </w:rPr>
      </w:pPr>
    </w:p>
    <w:p w:rsidR="000A5EBA" w:rsidRDefault="000A5EBA" w:rsidP="006C6A88">
      <w:pPr>
        <w:tabs>
          <w:tab w:val="left" w:pos="3520"/>
        </w:tabs>
      </w:pPr>
    </w:p>
    <w:p w:rsidR="00573968" w:rsidRPr="006C6A88" w:rsidRDefault="006C6A88" w:rsidP="006C6A88">
      <w:pPr>
        <w:tabs>
          <w:tab w:val="left" w:pos="3520"/>
        </w:tabs>
      </w:pPr>
      <w:r>
        <w:tab/>
      </w:r>
    </w:p>
    <w:sectPr w:rsidR="00573968" w:rsidRPr="006C6A88" w:rsidSect="00280B41">
      <w:headerReference w:type="default" r:id="rId11"/>
      <w:footerReference w:type="default" r:id="rId12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Information in this study plan is correct as at</w:t>
            </w:r>
            <w:r w:rsidR="00A82D80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21 October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C241EF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C241EF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9B223D" w:rsidRDefault="009B223D" w:rsidP="009B223D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CD719C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BP007 Bachelor of Automation and Robotics </w:t>
          </w:r>
        </w:p>
        <w:p w:rsidR="00CD719C" w:rsidRPr="00C768D8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</w:t>
          </w:r>
          <w:r w:rsidR="00800BDA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Mechanical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Systems)</w:t>
          </w:r>
        </w:p>
        <w:p w:rsidR="009B223D" w:rsidRDefault="009B223D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0C1586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C1586"/>
    <w:rsid w:val="001011A7"/>
    <w:rsid w:val="0013752A"/>
    <w:rsid w:val="00163ACB"/>
    <w:rsid w:val="001734F6"/>
    <w:rsid w:val="001A6C71"/>
    <w:rsid w:val="001F1F6F"/>
    <w:rsid w:val="00272745"/>
    <w:rsid w:val="002762EE"/>
    <w:rsid w:val="00280B41"/>
    <w:rsid w:val="00281782"/>
    <w:rsid w:val="003209C7"/>
    <w:rsid w:val="003D6C70"/>
    <w:rsid w:val="003F453C"/>
    <w:rsid w:val="00522DA0"/>
    <w:rsid w:val="00573968"/>
    <w:rsid w:val="005742C8"/>
    <w:rsid w:val="005855DC"/>
    <w:rsid w:val="0059530F"/>
    <w:rsid w:val="005E5801"/>
    <w:rsid w:val="006331CC"/>
    <w:rsid w:val="006C6A88"/>
    <w:rsid w:val="00724481"/>
    <w:rsid w:val="00780891"/>
    <w:rsid w:val="00800BDA"/>
    <w:rsid w:val="00824D22"/>
    <w:rsid w:val="0083288A"/>
    <w:rsid w:val="00843C4C"/>
    <w:rsid w:val="008641DA"/>
    <w:rsid w:val="008A5510"/>
    <w:rsid w:val="008C0AB8"/>
    <w:rsid w:val="008E3DB4"/>
    <w:rsid w:val="00936377"/>
    <w:rsid w:val="00973937"/>
    <w:rsid w:val="009A17A0"/>
    <w:rsid w:val="009B223D"/>
    <w:rsid w:val="009D178E"/>
    <w:rsid w:val="00A42297"/>
    <w:rsid w:val="00A82D80"/>
    <w:rsid w:val="00B1781C"/>
    <w:rsid w:val="00B527DF"/>
    <w:rsid w:val="00B576E7"/>
    <w:rsid w:val="00B844D2"/>
    <w:rsid w:val="00C12287"/>
    <w:rsid w:val="00C14CB1"/>
    <w:rsid w:val="00C241EF"/>
    <w:rsid w:val="00C30723"/>
    <w:rsid w:val="00C63F31"/>
    <w:rsid w:val="00C6752E"/>
    <w:rsid w:val="00C768D8"/>
    <w:rsid w:val="00CA1F33"/>
    <w:rsid w:val="00CD2102"/>
    <w:rsid w:val="00CD719C"/>
    <w:rsid w:val="00D046BA"/>
    <w:rsid w:val="00D2253D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A6473BD6-9CFC-4D9D-8863-FCF5FADBBBE0}"/>
</file>

<file path=customXml/itemProps2.xml><?xml version="1.0" encoding="utf-8"?>
<ds:datastoreItem xmlns:ds="http://schemas.openxmlformats.org/officeDocument/2006/customXml" ds:itemID="{3C1D8D89-CF87-41C8-B7A8-BA3C00FC3B81}"/>
</file>

<file path=customXml/itemProps3.xml><?xml version="1.0" encoding="utf-8"?>
<ds:datastoreItem xmlns:ds="http://schemas.openxmlformats.org/officeDocument/2006/customXml" ds:itemID="{7952CD2C-9FD3-4F96-AFAC-84A681F11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5</cp:revision>
  <dcterms:created xsi:type="dcterms:W3CDTF">2020-09-07T09:56:00Z</dcterms:created>
  <dcterms:modified xsi:type="dcterms:W3CDTF">2020-10-27T02:21:00Z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