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13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268422551">
            <wp:simplePos x="0" y="0"/>
            <wp:positionH relativeFrom="page">
              <wp:posOffset>719988</wp:posOffset>
            </wp:positionH>
            <wp:positionV relativeFrom="paragraph">
              <wp:posOffset>71181</wp:posOffset>
            </wp:positionV>
            <wp:extent cx="6120003" cy="12240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38"/>
        </w:rPr>
        <w:t>teacher guide</w:t>
      </w:r>
    </w:p>
    <w:p>
      <w:pPr>
        <w:pStyle w:val="BodyText"/>
        <w:spacing w:before="10"/>
        <w:rPr>
          <w:b/>
          <w:sz w:val="63"/>
        </w:rPr>
      </w:pPr>
      <w:r>
        <w:rPr/>
        <w:br w:type="column"/>
      </w:r>
      <w:r>
        <w:rPr>
          <w:b/>
          <w:sz w:val="63"/>
        </w:rPr>
      </w:r>
    </w:p>
    <w:p>
      <w:pPr>
        <w:spacing w:before="0"/>
        <w:ind w:left="591" w:right="0" w:firstLine="0"/>
        <w:jc w:val="left"/>
        <w:rPr>
          <w:b/>
          <w:sz w:val="40"/>
        </w:rPr>
      </w:pPr>
      <w:r>
        <w:rPr>
          <w:b/>
          <w:color w:val="FFFFFF"/>
          <w:spacing w:val="-13"/>
          <w:w w:val="95"/>
          <w:sz w:val="40"/>
        </w:rPr>
        <w:t>Electrical circuits</w:t>
      </w:r>
      <w:r>
        <w:rPr>
          <w:b/>
          <w:color w:val="FFFFFF"/>
          <w:spacing w:val="-84"/>
          <w:w w:val="95"/>
          <w:sz w:val="40"/>
        </w:rPr>
        <w:t> </w:t>
      </w:r>
      <w:r>
        <w:rPr>
          <w:b/>
          <w:color w:val="FFFFFF"/>
          <w:spacing w:val="-9"/>
          <w:w w:val="95"/>
          <w:sz w:val="40"/>
        </w:rPr>
        <w:t>3:</w:t>
      </w:r>
    </w:p>
    <w:p>
      <w:pPr>
        <w:spacing w:before="154"/>
        <w:ind w:left="113" w:right="0" w:firstLine="0"/>
        <w:jc w:val="left"/>
        <w:rPr>
          <w:b/>
          <w:sz w:val="48"/>
        </w:rPr>
      </w:pPr>
      <w:r>
        <w:rPr>
          <w:b/>
          <w:color w:val="FFFFFF"/>
          <w:spacing w:val="-17"/>
          <w:sz w:val="48"/>
        </w:rPr>
        <w:t>Current</w:t>
      </w:r>
      <w:r>
        <w:rPr>
          <w:b/>
          <w:color w:val="FFFFFF"/>
          <w:spacing w:val="-96"/>
          <w:sz w:val="48"/>
        </w:rPr>
        <w:t> </w:t>
      </w:r>
      <w:r>
        <w:rPr>
          <w:b/>
          <w:color w:val="FFFFFF"/>
          <w:spacing w:val="-16"/>
          <w:sz w:val="48"/>
        </w:rPr>
        <w:t>electricity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784" w:top="720" w:bottom="980" w:left="1020" w:right="1020"/>
          <w:cols w:num="2" w:equalWidth="0">
            <w:col w:w="2724" w:space="2917"/>
            <w:col w:w="4229"/>
          </w:cols>
        </w:sectPr>
      </w:pPr>
    </w:p>
    <w:p>
      <w:pPr>
        <w:pStyle w:val="BodyText"/>
        <w:spacing w:before="10"/>
        <w:rPr>
          <w:b/>
          <w:sz w:val="22"/>
        </w:rPr>
      </w:pPr>
    </w:p>
    <w:p>
      <w:pPr>
        <w:pStyle w:val="Heading1"/>
        <w:spacing w:before="99"/>
      </w:pPr>
      <w:r>
        <w:rPr>
          <w:color w:val="231F20"/>
          <w:w w:val="105"/>
        </w:rPr>
        <w:t>Components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CDDDE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Current electricity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spacing w:line="249" w:lineRule="auto"/>
              <w:ind w:left="79" w:right="5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suggests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alternative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ways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 experiment with simple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left="79" w:right="52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Models and misconceptions</w:t>
            </w:r>
          </w:p>
          <w:p>
            <w:pPr>
              <w:pStyle w:val="TableParagraph"/>
              <w:spacing w:before="115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background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7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Eight models that teachers may use to help explain concepts in electricity are described. A list of common misconceptions about electricity, held by students, is included.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Simple circuits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1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simple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completing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open-ended </w:t>
            </w:r>
            <w:r>
              <w:rPr>
                <w:color w:val="231F20"/>
                <w:w w:val="110"/>
                <w:sz w:val="18"/>
              </w:rPr>
              <w:t>and structured experiments to explore current, resistance and potential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difference.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20" w:bottom="980" w:left="1020" w:right="1020"/>
        </w:sectPr>
      </w:pPr>
    </w:p>
    <w:p>
      <w:pPr>
        <w:spacing w:before="100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 w:right="-14"/>
      </w:pPr>
      <w:r>
        <w:rPr>
          <w:color w:val="231F20"/>
          <w:spacing w:val="-6"/>
          <w:w w:val="105"/>
        </w:rPr>
        <w:t>To </w:t>
      </w:r>
      <w:r>
        <w:rPr>
          <w:b/>
          <w:color w:val="231F20"/>
          <w:w w:val="105"/>
        </w:rPr>
        <w:t>Explore </w:t>
      </w:r>
      <w:r>
        <w:rPr>
          <w:color w:val="231F20"/>
          <w:w w:val="105"/>
        </w:rPr>
        <w:t>concepts of current, resistance and </w:t>
      </w:r>
      <w:r>
        <w:rPr>
          <w:color w:val="231F20"/>
          <w:w w:val="110"/>
        </w:rPr>
        <w:t>potential difference.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Heading1"/>
        <w:spacing w:before="1"/>
      </w:pPr>
      <w:r>
        <w:rPr>
          <w:color w:val="231F20"/>
          <w:w w:val="110"/>
        </w:rPr>
        <w:t>Activity summary</w:t>
      </w:r>
    </w:p>
    <w:p>
      <w:pPr>
        <w:spacing w:before="100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364" w:hanging="170"/>
        <w:jc w:val="left"/>
        <w:rPr>
          <w:sz w:val="18"/>
        </w:rPr>
      </w:pPr>
      <w:r>
        <w:rPr>
          <w:color w:val="231F20"/>
          <w:w w:val="110"/>
          <w:sz w:val="18"/>
        </w:rPr>
        <w:t>construct simple circuits from components following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circuit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diagrams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verbal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instructions;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48" w:hanging="170"/>
        <w:jc w:val="left"/>
        <w:rPr>
          <w:sz w:val="18"/>
        </w:rPr>
      </w:pPr>
      <w:r>
        <w:rPr>
          <w:color w:val="231F20"/>
          <w:w w:val="110"/>
          <w:sz w:val="18"/>
        </w:rPr>
        <w:t>draw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circuit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diagrams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represent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simple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electrical </w:t>
      </w:r>
      <w:r>
        <w:rPr>
          <w:color w:val="231F20"/>
          <w:spacing w:val="2"/>
          <w:w w:val="110"/>
          <w:sz w:val="18"/>
        </w:rPr>
        <w:t>setups;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499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explore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relationships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between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current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size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and position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current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measured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circuit;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82" w:hanging="170"/>
        <w:jc w:val="left"/>
        <w:rPr>
          <w:sz w:val="18"/>
        </w:rPr>
      </w:pPr>
      <w:r>
        <w:rPr>
          <w:color w:val="231F20"/>
          <w:w w:val="105"/>
          <w:sz w:val="18"/>
        </w:rPr>
        <w:t>use ammeters and multimeters to measure current and resistance;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75" w:hanging="170"/>
        <w:jc w:val="left"/>
        <w:rPr>
          <w:sz w:val="18"/>
        </w:rPr>
      </w:pPr>
      <w:r>
        <w:rPr>
          <w:color w:val="231F20"/>
          <w:w w:val="110"/>
          <w:sz w:val="18"/>
        </w:rPr>
        <w:t>investigate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total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resistance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when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resistors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are connected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series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parallel.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980" w:left="1020" w:right="1020"/>
          <w:cols w:num="2" w:equalWidth="0">
            <w:col w:w="4062" w:space="1041"/>
            <w:col w:w="4767"/>
          </w:cols>
        </w:sectPr>
      </w:pP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1267" w:hRule="atLeast"/>
        </w:trPr>
        <w:tc>
          <w:tcPr>
            <w:tcW w:w="6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/>
              <w:ind w:left="79" w:right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explore simple circuits either using procedures described in this guide, or in the worksheet, </w:t>
            </w:r>
            <w:r>
              <w:rPr>
                <w:i/>
                <w:color w:val="231F20"/>
                <w:w w:val="105"/>
                <w:sz w:val="18"/>
              </w:rPr>
              <w:t>Simple circuits</w:t>
            </w:r>
            <w:r>
              <w:rPr>
                <w:color w:val="231F20"/>
                <w:w w:val="105"/>
                <w:sz w:val="18"/>
              </w:rPr>
              <w:t>.</w:t>
            </w:r>
          </w:p>
          <w:p>
            <w:pPr>
              <w:pStyle w:val="TableParagraph"/>
              <w:spacing w:line="249" w:lineRule="auto" w:before="115"/>
              <w:ind w:right="4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Simple circuits can be connected using standard laboratory components: power pack, lamps, meters, switches, cells and wires. Resistances can be measured using multimeters.</w:t>
            </w:r>
          </w:p>
        </w:tc>
        <w:tc>
          <w:tcPr>
            <w:tcW w:w="34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small groups or individuals</w:t>
            </w:r>
          </w:p>
        </w:tc>
      </w:tr>
    </w:tbl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720" w:bottom="9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68"/>
        <w:ind w:left="113" w:right="34"/>
      </w:pPr>
      <w:r>
        <w:rPr>
          <w:color w:val="231F20"/>
          <w:w w:val="110"/>
        </w:rPr>
        <w:t>Procedures may be </w:t>
      </w:r>
      <w:r>
        <w:rPr>
          <w:color w:val="231F20"/>
          <w:spacing w:val="2"/>
          <w:w w:val="110"/>
        </w:rPr>
        <w:t>open-ended </w:t>
      </w:r>
      <w:r>
        <w:rPr>
          <w:color w:val="231F20"/>
          <w:w w:val="110"/>
        </w:rPr>
        <w:t>with students experimenting with different combinations of components to develop confidence in using equipment. If a more structured approach is required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teachers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direct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groups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connect components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so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specific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outcome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achieved.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For example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instruction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3"/>
          <w:w w:val="110"/>
        </w:rPr>
        <w:t>be: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‘Produce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circuit</w:t>
      </w:r>
    </w:p>
    <w:p>
      <w:pPr>
        <w:pStyle w:val="BodyText"/>
        <w:spacing w:line="249" w:lineRule="auto" w:before="5"/>
        <w:ind w:left="113" w:right="417"/>
      </w:pPr>
      <w:r>
        <w:rPr>
          <w:color w:val="231F20"/>
          <w:w w:val="110"/>
        </w:rPr>
        <w:t>in which two lamps can be switched on and off independently.’</w:t>
      </w:r>
    </w:p>
    <w:p>
      <w:pPr>
        <w:pStyle w:val="BodyText"/>
        <w:spacing w:line="249" w:lineRule="auto" w:before="115"/>
        <w:ind w:left="113" w:right="32"/>
      </w:pPr>
      <w:r>
        <w:rPr>
          <w:color w:val="231F20"/>
          <w:w w:val="110"/>
        </w:rPr>
        <w:t>These experiments are written up in many different laboratory manuals in a more structured way.</w:t>
      </w:r>
    </w:p>
    <w:p>
      <w:pPr>
        <w:pStyle w:val="BodyText"/>
        <w:spacing w:line="249" w:lineRule="auto" w:before="1"/>
        <w:ind w:left="113" w:right="77"/>
      </w:pPr>
      <w:r>
        <w:rPr>
          <w:color w:val="231F20"/>
          <w:w w:val="105"/>
        </w:rPr>
        <w:t>Teachers may prefer to use these sources instead of the more open-ended approach.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9" w:lineRule="auto" w:before="1"/>
        <w:ind w:left="113" w:right="282"/>
      </w:pPr>
      <w:r>
        <w:rPr>
          <w:color w:val="231F20"/>
          <w:w w:val="110"/>
        </w:rPr>
        <w:t>Circuit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diagrams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drawn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represent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circuits students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construct.</w:t>
      </w:r>
    </w:p>
    <w:p>
      <w:pPr>
        <w:pStyle w:val="BodyText"/>
        <w:spacing w:line="249" w:lineRule="auto" w:before="114"/>
        <w:ind w:left="113" w:right="100"/>
      </w:pPr>
      <w:r>
        <w:rPr>
          <w:color w:val="231F20"/>
          <w:w w:val="110"/>
        </w:rPr>
        <w:t>A structured worksheet is included for teachers who prefer to approach the concepts more traditionally.</w:t>
      </w:r>
    </w:p>
    <w:p>
      <w:pPr>
        <w:pStyle w:val="BodyText"/>
        <w:spacing w:line="249" w:lineRule="auto" w:before="115"/>
        <w:ind w:left="113" w:right="305"/>
      </w:pPr>
      <w:r>
        <w:rPr>
          <w:color w:val="231F20"/>
          <w:w w:val="110"/>
        </w:rPr>
        <w:t>A large quantity of components is required if students work in small groups to construct a wide variety of circuits. If power packs are used as power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sources,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-5"/>
          <w:w w:val="110"/>
        </w:rPr>
        <w:t>12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lamps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eliminate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accidental ‘blowing’ 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bulbs.</w:t>
      </w:r>
    </w:p>
    <w:p>
      <w:pPr>
        <w:pStyle w:val="BodyText"/>
        <w:spacing w:line="249" w:lineRule="auto" w:before="117"/>
        <w:ind w:left="113" w:right="255"/>
      </w:pPr>
      <w:r>
        <w:rPr>
          <w:color w:val="231F20"/>
          <w:w w:val="110"/>
        </w:rPr>
        <w:t>Commercially designed kits of components, which may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available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schools,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assist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distribution of equipment 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students.</w:t>
      </w:r>
    </w:p>
    <w:p>
      <w:pPr>
        <w:spacing w:after="0" w:line="249" w:lineRule="auto"/>
        <w:sectPr>
          <w:type w:val="continuous"/>
          <w:pgSz w:w="11910" w:h="16840"/>
          <w:pgMar w:top="720" w:bottom="980" w:left="1020" w:right="1020"/>
          <w:cols w:num="2" w:equalWidth="0">
            <w:col w:w="4623" w:space="479"/>
            <w:col w:w="4768"/>
          </w:cols>
        </w:sectPr>
      </w:pPr>
    </w:p>
    <w:p>
      <w:pPr>
        <w:pStyle w:val="BodyText"/>
        <w:spacing w:before="6" w:after="1"/>
        <w:rPr>
          <w:sz w:val="25"/>
        </w:rPr>
      </w:pP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720" w:bottom="980" w:left="1020" w:right="10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p>
      <w:pPr>
        <w:spacing w:after="0" w:line="165" w:lineRule="exact"/>
        <w:rPr>
          <w:rFonts w:ascii="Times New Roman"/>
          <w:sz w:val="16"/>
        </w:rPr>
        <w:sectPr>
          <w:footerReference w:type="default" r:id="rId10"/>
          <w:pgSz w:w="11910" w:h="16840"/>
          <w:pgMar w:footer="784" w:header="0" w:top="1580" w:bottom="980" w:left="1020" w:right="1020"/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13" w:right="156"/>
      </w:pPr>
      <w:r>
        <w:rPr>
          <w:color w:val="231F20"/>
          <w:w w:val="105"/>
        </w:rPr>
        <w:t>The guide, background sheet and worksheet require Adobe Reader (version 5 or later). This is a free download from </w:t>
      </w:r>
      <w:hyperlink r:id="rId12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 is also available in Microsoft Word format.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3" w:right="156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/>
      </w:pPr>
      <w:r>
        <w:rPr>
          <w:color w:val="231F20"/>
          <w:w w:val="105"/>
        </w:rPr>
        <w:t>Production team: Leanne Bartoll, Alwyn Evans, Bob Fitzpatrick, Gary Thomas and Michael Wheatley, with thanks to Fred Deshon, Roger Dickinson, Jenny Gull and Wendy Sanderson.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1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2"/>
      </w:pPr>
      <w:r>
        <w:rPr>
          <w:color w:val="231F20"/>
        </w:rPr>
        <w:t>Web: spice.wa.edu.au Email: </w:t>
      </w:r>
      <w:hyperlink r:id="rId13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footerReference w:type="default" r:id="rId11"/>
          <w:pgSz w:w="11910" w:h="16840"/>
          <w:pgMar w:footer="784" w:header="0" w:top="720" w:bottom="980" w:left="1020" w:right="1020"/>
          <w:cols w:num="2" w:equalWidth="0">
            <w:col w:w="4688" w:space="415"/>
            <w:col w:w="4767"/>
          </w:cols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99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13" w:right="5165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Electrical circuits 3: Current electricity </w:t>
      </w:r>
      <w:r>
        <w:rPr>
          <w:color w:val="231F20"/>
          <w:w w:val="105"/>
          <w:sz w:val="18"/>
        </w:rPr>
        <w:t>may be used with related SPICE resources to address the broader topic of electricity.</w:t>
      </w: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Electrical circuits (sequence overview)</w:t>
            </w:r>
          </w:p>
          <w:p>
            <w:pPr>
              <w:pStyle w:val="TableParagraph"/>
              <w:spacing w:line="249" w:lineRule="auto" w:before="122"/>
              <w:ind w:right="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electricity.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1: Lightning</w:t>
            </w:r>
          </w:p>
          <w:p>
            <w:pPr>
              <w:pStyle w:val="TableParagraph"/>
              <w:spacing w:line="249" w:lineRule="auto" w:before="122"/>
              <w:ind w:right="7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Students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are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engaged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3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topic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electricity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through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observing</w:t>
            </w:r>
            <w:r>
              <w:rPr>
                <w:color w:val="231F20"/>
                <w:spacing w:val="-3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37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exploring lightning.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2: Static electricity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explore the effects of charge through a series of laboratory experiments.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1</w:t>
            </w:r>
          </w:p>
        </w:tc>
      </w:tr>
      <w:tr>
        <w:trPr>
          <w:trHeight w:val="619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3: Current electricity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construct circuits using simple electrical components.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2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Electrical circuits 4: Circuit rules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record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observations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derive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rules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 circuits.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 1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5: Measuring electricity</w:t>
            </w:r>
          </w:p>
          <w:p>
            <w:pPr>
              <w:pStyle w:val="TableParagraph"/>
              <w:spacing w:line="249" w:lineRule="auto" w:before="12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Six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measurements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electricity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explained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related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safety: </w:t>
            </w:r>
            <w:r>
              <w:rPr>
                <w:color w:val="231F20"/>
                <w:w w:val="110"/>
                <w:sz w:val="18"/>
              </w:rPr>
              <w:t>charge,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current,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resistance,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power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 2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Electrical circuits 6: Bioelectricity</w:t>
            </w:r>
          </w:p>
          <w:p>
            <w:pPr>
              <w:pStyle w:val="TableParagraph"/>
              <w:spacing w:line="249" w:lineRule="auto" w:before="123"/>
              <w:ind w:right="8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Four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electricity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living organisms, including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105.850998pt;margin-top:13.806959pt;width:33.85pt;height:8.3pt;mso-position-horizontal-relative:page;mso-position-vertical-relative:paragraph;z-index:-952;mso-wrap-distance-left:0;mso-wrap-distance-right:0" coordorigin="2117,276" coordsize="677,166">
            <v:rect style="position:absolute;left:2407;top:276;width:215;height:166" filled="true" fillcolor="#f15638" stroked="false">
              <v:fill type="solid"/>
            </v:rect>
            <v:rect style="position:absolute;left:2622;top:276;width:172;height:166" filled="true" fillcolor="#f99b1c" stroked="false">
              <v:fill type="solid"/>
            </v:rect>
            <v:rect style="position:absolute;left:2117;top:276;width:291;height:166" filled="true" fillcolor="#f36e3a" stroked="false">
              <v:fill type="solid"/>
            </v:rect>
            <w10:wrap type="topAndBottom"/>
          </v:group>
        </w:pict>
      </w:r>
      <w:r>
        <w:rPr/>
        <w:pict>
          <v:group style="position:absolute;margin-left:363.548004pt;margin-top:13.806959pt;width:116.4pt;height:8.3pt;mso-position-horizontal-relative:page;mso-position-vertical-relative:paragraph;z-index:-928;mso-wrap-distance-left:0;mso-wrap-distance-right:0" coordorigin="7271,276" coordsize="2328,166">
            <v:rect style="position:absolute;left:9274;top:276;width:153;height:166" filled="true" fillcolor="#f15638" stroked="false">
              <v:fill type="solid"/>
            </v:rect>
            <v:rect style="position:absolute;left:9426;top:276;width:172;height:166" filled="true" fillcolor="#f99b1c" stroked="false">
              <v:fill type="solid"/>
            </v:rect>
            <v:shape style="position:absolute;left:6539;top:276;width:2550;height:166" coordorigin="6539,276" coordsize="2550,166" path="m6670,276l6539,276,6539,442,6670,442,6670,276m7271,276l7162,276,7162,442,7271,442,7271,276m8013,276l7937,276,7937,442,8013,442,8013,276m8347,276l8199,276,8199,442,8347,442,8347,276m9088,276l9013,276,9013,442,9088,442,9088,276e" filled="true" fillcolor="#f15638" stroked="false">
              <v:path arrowok="t"/>
              <v:fill type="solid"/>
            </v:shape>
            <v:rect style="position:absolute;left:8199;top:276;width:148;height:166" filled="true" fillcolor="#f15638" stroked="false">
              <v:fill type="solid"/>
            </v:rect>
            <v:rect style="position:absolute;left:7937;top:276;width:76;height:166" filled="true" fillcolor="#f15638" stroked="false">
              <v:fill type="solid"/>
            </v:rect>
            <v:rect style="position:absolute;left:7270;top:276;width:377;height:166" filled="true" fillcolor="#f99b1c" stroked="false">
              <v:fill type="solid"/>
            </v:rect>
            <v:rect style="position:absolute;left:7647;top:276;width:291;height:166" filled="true" fillcolor="#f36e3a" stroked="false">
              <v:fill type="solid"/>
            </v:rect>
            <v:rect style="position:absolute;left:8012;top:276;width:187;height:166" filled="true" fillcolor="#f99b1c" stroked="false">
              <v:fill type="solid"/>
            </v:rect>
            <v:rect style="position:absolute;left:8346;top:276;width:377;height:166" filled="true" fillcolor="#f99b1c" stroked="false">
              <v:fill type="solid"/>
            </v:rect>
            <v:rect style="position:absolute;left:8722;top:276;width:291;height:166" filled="true" fillcolor="#f36e3a" stroked="false">
              <v:fill type="solid"/>
            </v:rect>
            <v:rect style="position:absolute;left:9088;top:276;width:187;height:166" filled="true" fillcolor="#f99b1c" stroked="false">
              <v:fill type="solid"/>
            </v:rect>
            <w10:wrap type="topAndBottom"/>
          </v:group>
        </w:pict>
      </w:r>
      <w:r>
        <w:rPr/>
        <w:pict>
          <v:rect style="position:absolute;margin-left:496.061005pt;margin-top:13.806959pt;width:15.045pt;height:8.289pt;mso-position-horizontal-relative:page;mso-position-vertical-relative:paragraph;z-index:-904;mso-wrap-distance-left:0;mso-wrap-distance-right:0" filled="true" fillcolor="#f99b1c" stroked="false">
            <v:fill type="solid"/>
            <w10:wrap type="topAndBottom"/>
          </v:rect>
        </w:pict>
      </w:r>
    </w:p>
    <w:sectPr>
      <w:type w:val="continuous"/>
      <w:pgSz w:w="11910" w:h="16840"/>
      <w:pgMar w:top="72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5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25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0.4pt;height:23.2pt;mso-position-horizontal-relative:page;mso-position-vertical-relative:page;z-index:-12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ast1385 | Electrical circuits 3: Current electricity (teacher guide)</w:t>
                </w:r>
              </w:p>
              <w:p>
                <w:pPr>
                  <w:spacing w:line="249" w:lineRule="auto" w:before="6"/>
                  <w:ind w:left="20" w:right="71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2.0 revised June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28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2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647">
          <wp:simplePos x="0" y="0"/>
          <wp:positionH relativeFrom="page">
            <wp:posOffset>540773</wp:posOffset>
          </wp:positionH>
          <wp:positionV relativeFrom="page">
            <wp:posOffset>9917749</wp:posOffset>
          </wp:positionV>
          <wp:extent cx="744053" cy="368395"/>
          <wp:effectExtent l="0" t="0" r="0" b="0"/>
          <wp:wrapNone/>
          <wp:docPr id="13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53" cy="36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2671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5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70.4pt;height:23.2pt;mso-position-horizontal-relative:page;mso-position-vertical-relative:page;z-index:-127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ast1385 | Electrical circuits 3: Current electricity (teacher guide)</w:t>
                </w:r>
              </w:p>
              <w:p>
                <w:pPr>
                  <w:spacing w:line="249" w:lineRule="auto" w:before="6"/>
                  <w:ind w:left="20" w:right="71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2.0 revised June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273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27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76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279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9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264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0.4pt;height:23.2pt;mso-position-horizontal-relative:page;mso-position-vertical-relative:page;z-index:-12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ast1385 | Electrical circuits 3: Current electricity (teacher guide)</w:t>
                </w:r>
              </w:p>
              <w:p>
                <w:pPr>
                  <w:spacing w:line="249" w:lineRule="auto" w:before="6"/>
                  <w:ind w:left="20" w:right="71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2.0 revised June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259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25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0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right="148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yperlink" Target="http://www.adobe.com/" TargetMode="External"/><Relationship Id="rId13" Type="http://schemas.openxmlformats.org/officeDocument/2006/relationships/hyperlink" Target="mailto:spice@uwa.edu.au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2020-04-01T13:25:42Z</dcterms:created>
  <dcterms:modified xsi:type="dcterms:W3CDTF">2020-04-01T13:25:42Z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