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9pt;mso-position-horizontal-relative:char;mso-position-vertical-relative:line" coordorigin="0,0" coordsize="9638,1980">
            <v:shape style="position:absolute;left:0;top:37;width:9638;height:1928" type="#_x0000_t75" stroked="false">
              <v:imagedata r:id="rId6" o:title=""/>
            </v:shape>
            <v:rect style="position:absolute;left:4937;top:1202;width:4587;height:778" filled="true" fillcolor="#231f20" stroked="false">
              <v:fill opacity="49152f" type="solid"/>
            </v:rect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945;top:1139;width:4463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Protein </w:t>
                    </w:r>
                    <w:r>
                      <w:rPr>
                        <w:b/>
                        <w:color w:val="FFFFFF"/>
                        <w:spacing w:val="-24"/>
                        <w:sz w:val="58"/>
                      </w:rPr>
                      <w:t>pathways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Heading2"/>
        <w:spacing w:line="285" w:lineRule="auto" w:before="100"/>
        <w:ind w:right="940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768197</wp:posOffset>
            </wp:positionH>
            <wp:positionV relativeFrom="paragraph">
              <wp:posOffset>76391</wp:posOffset>
            </wp:positionV>
            <wp:extent cx="1871802" cy="2492997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802" cy="249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619D"/>
          <w:w w:val="110"/>
        </w:rPr>
        <w:t>In</w:t>
      </w:r>
      <w:r>
        <w:rPr>
          <w:color w:val="34619D"/>
          <w:spacing w:val="-49"/>
          <w:w w:val="110"/>
        </w:rPr>
        <w:t> </w:t>
      </w:r>
      <w:r>
        <w:rPr>
          <w:color w:val="34619D"/>
          <w:spacing w:val="-2"/>
          <w:w w:val="110"/>
        </w:rPr>
        <w:t>the</w:t>
      </w:r>
      <w:r>
        <w:rPr>
          <w:color w:val="34619D"/>
          <w:spacing w:val="-48"/>
          <w:w w:val="110"/>
        </w:rPr>
        <w:t> </w:t>
      </w:r>
      <w:r>
        <w:rPr>
          <w:color w:val="34619D"/>
          <w:w w:val="110"/>
        </w:rPr>
        <w:t>School</w:t>
      </w:r>
      <w:r>
        <w:rPr>
          <w:color w:val="34619D"/>
          <w:spacing w:val="-48"/>
          <w:w w:val="110"/>
        </w:rPr>
        <w:t> </w:t>
      </w:r>
      <w:r>
        <w:rPr>
          <w:color w:val="34619D"/>
          <w:w w:val="110"/>
        </w:rPr>
        <w:t>of</w:t>
      </w:r>
      <w:r>
        <w:rPr>
          <w:color w:val="34619D"/>
          <w:spacing w:val="-48"/>
          <w:w w:val="110"/>
        </w:rPr>
        <w:t> </w:t>
      </w:r>
      <w:r>
        <w:rPr>
          <w:color w:val="34619D"/>
          <w:spacing w:val="-3"/>
          <w:w w:val="110"/>
        </w:rPr>
        <w:t>Biomedical,</w:t>
      </w:r>
      <w:r>
        <w:rPr>
          <w:color w:val="34619D"/>
          <w:spacing w:val="-49"/>
          <w:w w:val="110"/>
        </w:rPr>
        <w:t> </w:t>
      </w:r>
      <w:r>
        <w:rPr>
          <w:color w:val="34619D"/>
          <w:spacing w:val="-3"/>
          <w:w w:val="110"/>
        </w:rPr>
        <w:t>Biomolecular</w:t>
      </w:r>
      <w:r>
        <w:rPr>
          <w:color w:val="34619D"/>
          <w:spacing w:val="-48"/>
          <w:w w:val="110"/>
        </w:rPr>
        <w:t> </w:t>
      </w:r>
      <w:r>
        <w:rPr>
          <w:color w:val="34619D"/>
          <w:w w:val="110"/>
        </w:rPr>
        <w:t>and</w:t>
      </w:r>
      <w:r>
        <w:rPr>
          <w:color w:val="34619D"/>
          <w:spacing w:val="-48"/>
          <w:w w:val="110"/>
        </w:rPr>
        <w:t> </w:t>
      </w:r>
      <w:r>
        <w:rPr>
          <w:color w:val="34619D"/>
          <w:spacing w:val="-3"/>
          <w:w w:val="110"/>
        </w:rPr>
        <w:t>Chemical Sciences</w:t>
      </w:r>
      <w:r>
        <w:rPr>
          <w:color w:val="34619D"/>
          <w:spacing w:val="-26"/>
          <w:w w:val="110"/>
        </w:rPr>
        <w:t> </w:t>
      </w:r>
      <w:r>
        <w:rPr>
          <w:color w:val="34619D"/>
          <w:w w:val="110"/>
        </w:rPr>
        <w:t>at</w:t>
      </w:r>
      <w:r>
        <w:rPr>
          <w:color w:val="34619D"/>
          <w:spacing w:val="-25"/>
          <w:w w:val="110"/>
        </w:rPr>
        <w:t> </w:t>
      </w:r>
      <w:r>
        <w:rPr>
          <w:color w:val="34619D"/>
          <w:w w:val="110"/>
        </w:rPr>
        <w:t>The</w:t>
      </w:r>
      <w:r>
        <w:rPr>
          <w:color w:val="34619D"/>
          <w:spacing w:val="-25"/>
          <w:w w:val="110"/>
        </w:rPr>
        <w:t> </w:t>
      </w:r>
      <w:r>
        <w:rPr>
          <w:color w:val="34619D"/>
          <w:w w:val="110"/>
        </w:rPr>
        <w:t>University</w:t>
      </w:r>
      <w:r>
        <w:rPr>
          <w:color w:val="34619D"/>
          <w:spacing w:val="-25"/>
          <w:w w:val="110"/>
        </w:rPr>
        <w:t> </w:t>
      </w:r>
      <w:r>
        <w:rPr>
          <w:color w:val="34619D"/>
          <w:w w:val="110"/>
        </w:rPr>
        <w:t>of</w:t>
      </w:r>
      <w:r>
        <w:rPr>
          <w:color w:val="34619D"/>
          <w:spacing w:val="-25"/>
          <w:w w:val="110"/>
        </w:rPr>
        <w:t> </w:t>
      </w:r>
      <w:r>
        <w:rPr>
          <w:color w:val="34619D"/>
          <w:spacing w:val="-3"/>
          <w:w w:val="110"/>
        </w:rPr>
        <w:t>Western</w:t>
      </w:r>
      <w:r>
        <w:rPr>
          <w:color w:val="34619D"/>
          <w:spacing w:val="-25"/>
          <w:w w:val="110"/>
        </w:rPr>
        <w:t> </w:t>
      </w:r>
      <w:r>
        <w:rPr>
          <w:color w:val="34619D"/>
          <w:spacing w:val="-4"/>
          <w:w w:val="110"/>
        </w:rPr>
        <w:t>Australia,</w:t>
      </w:r>
    </w:p>
    <w:p>
      <w:pPr>
        <w:spacing w:line="285" w:lineRule="auto" w:before="0"/>
        <w:ind w:left="3534" w:right="490" w:firstLine="0"/>
        <w:jc w:val="left"/>
        <w:rPr>
          <w:sz w:val="22"/>
        </w:rPr>
      </w:pPr>
      <w:r>
        <w:rPr>
          <w:color w:val="34619D"/>
          <w:w w:val="110"/>
          <w:sz w:val="22"/>
        </w:rPr>
        <w:t>Dr</w:t>
      </w:r>
      <w:r>
        <w:rPr>
          <w:color w:val="34619D"/>
          <w:spacing w:val="-40"/>
          <w:w w:val="110"/>
          <w:sz w:val="22"/>
        </w:rPr>
        <w:t> </w:t>
      </w:r>
      <w:r>
        <w:rPr>
          <w:color w:val="34619D"/>
          <w:spacing w:val="-4"/>
          <w:w w:val="110"/>
          <w:sz w:val="22"/>
        </w:rPr>
        <w:t>Paul</w:t>
      </w:r>
      <w:r>
        <w:rPr>
          <w:color w:val="34619D"/>
          <w:spacing w:val="-39"/>
          <w:w w:val="110"/>
          <w:sz w:val="22"/>
        </w:rPr>
        <w:t> </w:t>
      </w:r>
      <w:r>
        <w:rPr>
          <w:color w:val="34619D"/>
          <w:w w:val="110"/>
          <w:sz w:val="22"/>
        </w:rPr>
        <w:t>Besant</w:t>
      </w:r>
      <w:r>
        <w:rPr>
          <w:color w:val="34619D"/>
          <w:spacing w:val="-39"/>
          <w:w w:val="110"/>
          <w:sz w:val="22"/>
        </w:rPr>
        <w:t> </w:t>
      </w:r>
      <w:r>
        <w:rPr>
          <w:color w:val="34619D"/>
          <w:w w:val="110"/>
          <w:sz w:val="22"/>
        </w:rPr>
        <w:t>is</w:t>
      </w:r>
      <w:r>
        <w:rPr>
          <w:color w:val="34619D"/>
          <w:spacing w:val="-40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studying</w:t>
      </w:r>
      <w:r>
        <w:rPr>
          <w:color w:val="34619D"/>
          <w:spacing w:val="-39"/>
          <w:w w:val="110"/>
          <w:sz w:val="22"/>
        </w:rPr>
        <w:t> </w:t>
      </w:r>
      <w:r>
        <w:rPr>
          <w:color w:val="34619D"/>
          <w:spacing w:val="-2"/>
          <w:w w:val="110"/>
          <w:sz w:val="22"/>
        </w:rPr>
        <w:t>the</w:t>
      </w:r>
      <w:r>
        <w:rPr>
          <w:color w:val="34619D"/>
          <w:spacing w:val="-39"/>
          <w:w w:val="110"/>
          <w:sz w:val="22"/>
        </w:rPr>
        <w:t> </w:t>
      </w:r>
      <w:r>
        <w:rPr>
          <w:color w:val="34619D"/>
          <w:w w:val="110"/>
          <w:sz w:val="22"/>
        </w:rPr>
        <w:t>process</w:t>
      </w:r>
      <w:r>
        <w:rPr>
          <w:color w:val="34619D"/>
          <w:spacing w:val="-40"/>
          <w:w w:val="110"/>
          <w:sz w:val="22"/>
        </w:rPr>
        <w:t> </w:t>
      </w:r>
      <w:r>
        <w:rPr>
          <w:color w:val="34619D"/>
          <w:w w:val="110"/>
          <w:sz w:val="22"/>
        </w:rPr>
        <w:t>of</w:t>
      </w:r>
      <w:r>
        <w:rPr>
          <w:color w:val="34619D"/>
          <w:spacing w:val="-39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phosphorylation</w:t>
      </w:r>
      <w:r>
        <w:rPr>
          <w:color w:val="34619D"/>
          <w:spacing w:val="-39"/>
          <w:w w:val="110"/>
          <w:sz w:val="22"/>
        </w:rPr>
        <w:t> </w:t>
      </w:r>
      <w:r>
        <w:rPr>
          <w:color w:val="34619D"/>
          <w:w w:val="110"/>
          <w:sz w:val="22"/>
        </w:rPr>
        <w:t>of </w:t>
      </w:r>
      <w:r>
        <w:rPr>
          <w:color w:val="34619D"/>
          <w:spacing w:val="-4"/>
          <w:w w:val="110"/>
          <w:sz w:val="22"/>
        </w:rPr>
        <w:t>protein</w:t>
      </w:r>
      <w:r>
        <w:rPr>
          <w:color w:val="34619D"/>
          <w:spacing w:val="-13"/>
          <w:w w:val="110"/>
          <w:sz w:val="22"/>
        </w:rPr>
        <w:t> </w:t>
      </w:r>
      <w:r>
        <w:rPr>
          <w:color w:val="34619D"/>
          <w:w w:val="110"/>
          <w:sz w:val="22"/>
        </w:rPr>
        <w:t>molecules.</w:t>
      </w:r>
    </w:p>
    <w:p>
      <w:pPr>
        <w:pStyle w:val="BodyText"/>
        <w:spacing w:line="302" w:lineRule="auto" w:before="106"/>
        <w:ind w:left="3534" w:right="879"/>
      </w:pPr>
      <w:r>
        <w:rPr>
          <w:color w:val="231F20"/>
          <w:w w:val="110"/>
        </w:rPr>
        <w:t>Paul uses phosphorus-32 </w:t>
      </w:r>
      <w:r>
        <w:rPr>
          <w:color w:val="231F20"/>
          <w:spacing w:val="3"/>
          <w:w w:val="110"/>
        </w:rPr>
        <w:t>(</w:t>
      </w:r>
      <w:r>
        <w:rPr>
          <w:color w:val="231F20"/>
          <w:spacing w:val="3"/>
          <w:w w:val="110"/>
          <w:position w:val="6"/>
          <w:sz w:val="10"/>
        </w:rPr>
        <w:t>32</w:t>
      </w:r>
      <w:r>
        <w:rPr>
          <w:color w:val="231F20"/>
          <w:spacing w:val="3"/>
          <w:w w:val="110"/>
        </w:rPr>
        <w:t>P), </w:t>
      </w:r>
      <w:r>
        <w:rPr>
          <w:color w:val="231F20"/>
          <w:w w:val="110"/>
        </w:rPr>
        <w:t>instead of stable phosphorus-31 (</w:t>
      </w:r>
      <w:r>
        <w:rPr>
          <w:color w:val="231F20"/>
          <w:w w:val="110"/>
          <w:position w:val="6"/>
          <w:sz w:val="10"/>
        </w:rPr>
        <w:t>31</w:t>
      </w:r>
      <w:r>
        <w:rPr>
          <w:color w:val="231F20"/>
          <w:w w:val="110"/>
        </w:rPr>
        <w:t>P),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tag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trace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molecules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involved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protein phosphorylation.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Phosphorylation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phosphoryl</w:t>
      </w:r>
    </w:p>
    <w:p>
      <w:pPr>
        <w:pStyle w:val="BodyText"/>
        <w:spacing w:line="247" w:lineRule="exact"/>
        <w:ind w:left="3534"/>
      </w:pPr>
      <w:r>
        <w:rPr>
          <w:color w:val="231F20"/>
          <w:w w:val="105"/>
        </w:rPr>
        <w:t>group (PO</w:t>
      </w:r>
      <w:r>
        <w:rPr>
          <w:color w:val="231F20"/>
          <w:w w:val="105"/>
          <w:position w:val="-5"/>
          <w:sz w:val="10"/>
        </w:rPr>
        <w:t>3</w:t>
      </w:r>
      <w:r>
        <w:rPr>
          <w:color w:val="231F20"/>
          <w:w w:val="105"/>
        </w:rPr>
        <w:t>) is added to a protein. It is an active process (this means that</w:t>
      </w:r>
    </w:p>
    <w:p>
      <w:pPr>
        <w:pStyle w:val="BodyText"/>
        <w:spacing w:line="302" w:lineRule="auto" w:before="10"/>
        <w:ind w:left="3534" w:right="490"/>
      </w:pPr>
      <w:r>
        <w:rPr>
          <w:color w:val="231F20"/>
          <w:w w:val="110"/>
        </w:rPr>
        <w:t>it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uses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energy)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often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control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point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series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biochemical processes.</w:t>
      </w:r>
    </w:p>
    <w:p>
      <w:pPr>
        <w:pStyle w:val="BodyText"/>
        <w:spacing w:line="302" w:lineRule="auto" w:before="112"/>
        <w:ind w:left="3534"/>
      </w:pPr>
      <w:r>
        <w:rPr>
          <w:color w:val="231F20"/>
          <w:w w:val="110"/>
        </w:rPr>
        <w:t>Some proteins require addition of a phosphoryl group to continue a reaction,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proteins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require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phosphoryl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group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removed. These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act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‘on’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‘off’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switches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biochemical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pathways.</w:t>
      </w:r>
    </w:p>
    <w:p>
      <w:pPr>
        <w:pStyle w:val="BodyText"/>
        <w:spacing w:before="5"/>
        <w:rPr>
          <w:sz w:val="22"/>
        </w:rPr>
      </w:pPr>
      <w:r>
        <w:rPr/>
        <w:pict>
          <v:group style="position:absolute;margin-left:56.693001pt;margin-top:15.387548pt;width:491.85pt;height:406.55pt;mso-position-horizontal-relative:page;mso-position-vertical-relative:paragraph;z-index:-928;mso-wrap-distance-left:0;mso-wrap-distance-right:0" coordorigin="1134,308" coordsize="9837,8131">
            <v:shape style="position:absolute;left:1133;top:307;width:4621;height:6671" type="#_x0000_t75" stroked="false">
              <v:imagedata r:id="rId8" o:title=""/>
            </v:shape>
            <v:shape style="position:absolute;left:4166;top:5051;width:6804;height:3388" type="#_x0000_t75" stroked="false">
              <v:imagedata r:id="rId9" o:title=""/>
            </v:shape>
            <v:shape style="position:absolute;left:1133;top:307;width:9837;height:8131" type="#_x0000_t202" filled="false" stroked="false">
              <v:textbox inset="0,0,0,0">
                <w:txbxContent>
                  <w:p>
                    <w:pPr>
                      <w:spacing w:before="29"/>
                      <w:ind w:left="5073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color w:val="34619D"/>
                        <w:w w:val="110"/>
                        <w:sz w:val="44"/>
                      </w:rPr>
                      <w:t>Use </w:t>
                    </w:r>
                    <w:r>
                      <w:rPr>
                        <w:color w:val="34619D"/>
                        <w:spacing w:val="-4"/>
                        <w:w w:val="110"/>
                        <w:sz w:val="44"/>
                      </w:rPr>
                      <w:t>of</w:t>
                    </w:r>
                    <w:r>
                      <w:rPr>
                        <w:color w:val="34619D"/>
                        <w:spacing w:val="-79"/>
                        <w:w w:val="110"/>
                        <w:sz w:val="44"/>
                      </w:rPr>
                      <w:t> </w:t>
                    </w:r>
                    <w:r>
                      <w:rPr>
                        <w:color w:val="34619D"/>
                        <w:spacing w:val="-5"/>
                        <w:w w:val="110"/>
                        <w:sz w:val="44"/>
                      </w:rPr>
                      <w:t>radioisotopes</w:t>
                    </w:r>
                  </w:p>
                  <w:p>
                    <w:pPr>
                      <w:spacing w:line="302" w:lineRule="auto" w:before="54"/>
                      <w:ind w:left="5073" w:right="47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Use of radioisotopes to </w:t>
                    </w:r>
                    <w:r>
                      <w:rPr>
                        <w:color w:val="231F20"/>
                        <w:spacing w:val="2"/>
                        <w:w w:val="110"/>
                        <w:sz w:val="18"/>
                      </w:rPr>
                      <w:t>‘tag’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molecules allows researchers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follow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8"/>
                      </w:rPr>
                      <w:t>understand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cascade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 biological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events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cells,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because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tag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can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be detected</w:t>
                    </w:r>
                    <w:r>
                      <w:rPr>
                        <w:color w:val="231F20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therefore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followed.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tag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can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also indicate</w:t>
                    </w:r>
                    <w:r>
                      <w:rPr>
                        <w:color w:val="231F20"/>
                        <w:spacing w:val="-2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where</w:t>
                    </w:r>
                    <w:r>
                      <w:rPr>
                        <w:color w:val="231F20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body</w:t>
                    </w:r>
                    <w:r>
                      <w:rPr>
                        <w:color w:val="231F20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or</w:t>
                    </w:r>
                    <w:r>
                      <w:rPr>
                        <w:color w:val="231F20"/>
                        <w:spacing w:val="-2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cell</w:t>
                    </w:r>
                    <w:r>
                      <w:rPr>
                        <w:color w:val="231F20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these</w:t>
                    </w:r>
                    <w:r>
                      <w:rPr>
                        <w:color w:val="231F20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processes take</w:t>
                    </w:r>
                    <w:r>
                      <w:rPr>
                        <w:color w:val="231F20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place.</w:t>
                    </w:r>
                  </w:p>
                  <w:p>
                    <w:pPr>
                      <w:spacing w:line="302" w:lineRule="auto" w:before="108"/>
                      <w:ind w:left="5073" w:right="59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Radioactive</w:t>
                    </w:r>
                    <w:r>
                      <w:rPr>
                        <w:color w:val="231F20"/>
                        <w:spacing w:val="-3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tags</w:t>
                    </w:r>
                    <w:r>
                      <w:rPr>
                        <w:color w:val="231F20"/>
                        <w:spacing w:val="-3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are</w:t>
                    </w:r>
                    <w:r>
                      <w:rPr>
                        <w:color w:val="231F20"/>
                        <w:spacing w:val="-3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useful</w:t>
                    </w:r>
                    <w:r>
                      <w:rPr>
                        <w:color w:val="231F20"/>
                        <w:spacing w:val="-3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because,</w:t>
                    </w:r>
                    <w:r>
                      <w:rPr>
                        <w:color w:val="231F20"/>
                        <w:spacing w:val="-3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unlike</w:t>
                    </w:r>
                    <w:r>
                      <w:rPr>
                        <w:color w:val="231F20"/>
                        <w:spacing w:val="-3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bulky fluorescent labels, they do not alter activity of a protein or </w:t>
                    </w:r>
                    <w:r>
                      <w:rPr>
                        <w:color w:val="231F20"/>
                        <w:spacing w:val="2"/>
                        <w:w w:val="110"/>
                        <w:sz w:val="18"/>
                      </w:rPr>
                      <w:t>affect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reaction.</w:t>
                    </w:r>
                  </w:p>
                  <w:p>
                    <w:pPr>
                      <w:spacing w:line="302" w:lineRule="auto" w:before="112"/>
                      <w:ind w:left="5073" w:right="63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position w:val="6"/>
                        <w:sz w:val="10"/>
                      </w:rPr>
                      <w:t>32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P</w:t>
                    </w:r>
                    <w:r>
                      <w:rPr>
                        <w:color w:val="231F20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is</w:t>
                    </w:r>
                    <w:r>
                      <w:rPr>
                        <w:color w:val="231F20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radioactive</w:t>
                    </w:r>
                    <w:r>
                      <w:rPr>
                        <w:color w:val="231F20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isotope</w:t>
                    </w:r>
                    <w:r>
                      <w:rPr>
                        <w:color w:val="231F20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stable</w:t>
                    </w:r>
                    <w:r>
                      <w:rPr>
                        <w:color w:val="231F20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phosphorus. It is a high-energy </w:t>
                    </w:r>
                    <w:r>
                      <w:rPr>
                        <w:color w:val="231F20"/>
                        <w:spacing w:val="2"/>
                        <w:w w:val="110"/>
                        <w:sz w:val="18"/>
                      </w:rPr>
                      <w:t>beta-emitter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with a half-life of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14.3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days.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properties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isotope</w:t>
                    </w:r>
                    <w:r>
                      <w:rPr>
                        <w:color w:val="231F20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mean</w:t>
                    </w:r>
                  </w:p>
                  <w:p>
                    <w:pPr>
                      <w:spacing w:line="302" w:lineRule="auto" w:before="0"/>
                      <w:ind w:left="5073" w:right="37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that only small amounts are needed and therefore perspex shielding and normal protective clothing methods are sufficient for</w:t>
                    </w:r>
                  </w:p>
                  <w:p>
                    <w:pPr>
                      <w:spacing w:line="204" w:lineRule="exact" w:before="0"/>
                      <w:ind w:left="507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safety.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footerReference w:type="default" r:id="rId5"/>
          <w:type w:val="continuous"/>
          <w:pgSz w:w="11910" w:h="16840"/>
          <w:pgMar w:footer="1084" w:top="800" w:bottom="1280" w:left="1020" w:right="820"/>
        </w:sect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w:pict>
          <v:group style="width:480.5pt;height:64.95pt;mso-position-horizontal-relative:char;mso-position-vertical-relative:line" coordorigin="0,0" coordsize="9610,1299">
            <v:shape style="position:absolute;left:0;top:37;width:9610;height:1236" type="#_x0000_t75" stroked="false">
              <v:imagedata r:id="rId11" o:title=""/>
            </v:shape>
            <v:shape style="position:absolute;left:0;top:0;width:9610;height:1274" type="#_x0000_t202" filled="false" stroked="false">
              <v:textbox inset="0,0,0,0">
                <w:txbxContent>
                  <w:p>
                    <w:pPr>
                      <w:spacing w:before="76"/>
                      <w:ind w:left="69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fact sheet</w:t>
                    </w:r>
                  </w:p>
                </w:txbxContent>
              </v:textbox>
              <w10:wrap type="none"/>
            </v:shape>
            <v:shape style="position:absolute;left:5333;top:750;width:4018;height:548" type="#_x0000_t202" filled="true" fillcolor="#231f20" stroked="false">
              <v:textbox inset="0,0,0,0">
                <w:txbxContent>
                  <w:p>
                    <w:pPr>
                      <w:spacing w:line="384" w:lineRule="exact" w:before="0"/>
                      <w:ind w:left="29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Protein phosphorylation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0"/>
          <w:pgSz w:w="11910" w:h="16840"/>
          <w:pgMar w:footer="1084" w:header="0" w:top="800" w:bottom="1280" w:left="1020" w:right="820"/>
        </w:sectPr>
      </w:pPr>
    </w:p>
    <w:p>
      <w:pPr>
        <w:pStyle w:val="BodyText"/>
        <w:spacing w:after="1"/>
        <w:rPr>
          <w:sz w:val="23"/>
        </w:rPr>
      </w:pPr>
    </w:p>
    <w:p>
      <w:pPr>
        <w:pStyle w:val="BodyText"/>
        <w:ind w:left="109" w:right="-15"/>
        <w:rPr>
          <w:sz w:val="20"/>
        </w:rPr>
      </w:pPr>
      <w:r>
        <w:rPr>
          <w:sz w:val="20"/>
        </w:rPr>
        <w:drawing>
          <wp:inline distT="0" distB="0" distL="0" distR="0">
            <wp:extent cx="3477546" cy="3230879"/>
            <wp:effectExtent l="0" t="0" r="0" b="0"/>
            <wp:docPr id="11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546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355"/>
      </w:pPr>
      <w:r>
        <w:rPr>
          <w:color w:val="34619D"/>
          <w:w w:val="105"/>
        </w:rPr>
        <w:t>Why is this important?</w:t>
      </w:r>
    </w:p>
    <w:p>
      <w:pPr>
        <w:pStyle w:val="BodyText"/>
        <w:spacing w:before="1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54" w:lineRule="auto"/>
        <w:ind w:left="109" w:right="331"/>
      </w:pPr>
      <w:r>
        <w:rPr>
          <w:color w:val="231F20"/>
          <w:w w:val="110"/>
        </w:rPr>
        <w:t>Tagged molecules are separated using electrophoresis. This is a technique that separates proteins of different molecular weights — the lighter the molecule, the further it moves along the gel. Once electro- phoresis is complete, the gel is placed on</w:t>
      </w:r>
    </w:p>
    <w:p>
      <w:pPr>
        <w:pStyle w:val="BodyText"/>
        <w:spacing w:before="3"/>
        <w:ind w:left="109"/>
      </w:pPr>
      <w:r>
        <w:rPr>
          <w:color w:val="231F20"/>
          <w:w w:val="110"/>
        </w:rPr>
        <w:t>X-ray film.</w:t>
      </w:r>
    </w:p>
    <w:p>
      <w:pPr>
        <w:pStyle w:val="BodyText"/>
        <w:spacing w:line="254" w:lineRule="auto" w:before="127"/>
        <w:ind w:left="109" w:right="491"/>
      </w:pPr>
      <w:r>
        <w:rPr>
          <w:color w:val="231F20"/>
          <w:w w:val="110"/>
        </w:rPr>
        <w:t>Radioactive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tags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gel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detected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using X-ray film. Beta particle emissions pass straight through the film so they don’t leave an image and an intensifying screen is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required.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screen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coated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calcium</w:t>
      </w:r>
    </w:p>
    <w:p>
      <w:pPr>
        <w:pStyle w:val="BodyText"/>
        <w:spacing w:line="254" w:lineRule="auto" w:before="2"/>
        <w:ind w:left="109" w:right="243"/>
      </w:pPr>
      <w:r>
        <w:rPr>
          <w:color w:val="231F20"/>
          <w:w w:val="110"/>
        </w:rPr>
        <w:t>tungstate which fluoresces (emits light) when struck by beta particles. The fluorescent</w:t>
      </w:r>
    </w:p>
    <w:p>
      <w:pPr>
        <w:pStyle w:val="BodyText"/>
        <w:spacing w:line="254" w:lineRule="auto" w:before="2"/>
        <w:ind w:left="109" w:right="331"/>
      </w:pPr>
      <w:r>
        <w:rPr>
          <w:color w:val="231F20"/>
          <w:w w:val="110"/>
        </w:rPr>
        <w:t>light energy hits the film leaving an image. Equipment is cooled to -70 °C, which sharpens the image.</w:t>
      </w:r>
    </w:p>
    <w:p>
      <w:pPr>
        <w:pStyle w:val="BodyText"/>
        <w:spacing w:line="254" w:lineRule="auto" w:before="115"/>
        <w:ind w:left="109" w:right="467"/>
      </w:pPr>
      <w:r>
        <w:rPr>
          <w:w w:val="110"/>
        </w:rPr>
        <w:t>Radioactively tagged proteins show up as black</w:t>
      </w:r>
      <w:r>
        <w:rPr>
          <w:spacing w:val="-22"/>
          <w:w w:val="110"/>
        </w:rPr>
        <w:t> </w:t>
      </w:r>
      <w:r>
        <w:rPr>
          <w:w w:val="110"/>
        </w:rPr>
        <w:t>bands</w:t>
      </w:r>
      <w:r>
        <w:rPr>
          <w:spacing w:val="-21"/>
          <w:w w:val="110"/>
        </w:rPr>
        <w:t> </w:t>
      </w:r>
      <w:r>
        <w:rPr>
          <w:w w:val="110"/>
        </w:rPr>
        <w:t>on</w:t>
      </w:r>
      <w:r>
        <w:rPr>
          <w:spacing w:val="-21"/>
          <w:w w:val="110"/>
        </w:rPr>
        <w:t> </w:t>
      </w:r>
      <w:r>
        <w:rPr>
          <w:w w:val="110"/>
        </w:rPr>
        <w:t>the</w:t>
      </w:r>
      <w:r>
        <w:rPr>
          <w:spacing w:val="-21"/>
          <w:w w:val="110"/>
        </w:rPr>
        <w:t> </w:t>
      </w:r>
      <w:r>
        <w:rPr>
          <w:w w:val="110"/>
        </w:rPr>
        <w:t>film.</w:t>
      </w:r>
      <w:r>
        <w:rPr>
          <w:spacing w:val="-21"/>
          <w:w w:val="110"/>
        </w:rPr>
        <w:t> </w:t>
      </w:r>
      <w:r>
        <w:rPr>
          <w:w w:val="110"/>
        </w:rPr>
        <w:t>The</w:t>
      </w:r>
      <w:r>
        <w:rPr>
          <w:spacing w:val="-21"/>
          <w:w w:val="110"/>
        </w:rPr>
        <w:t> </w:t>
      </w:r>
      <w:r>
        <w:rPr>
          <w:w w:val="110"/>
        </w:rPr>
        <w:t>X-ray</w:t>
      </w:r>
      <w:r>
        <w:rPr>
          <w:spacing w:val="-22"/>
          <w:w w:val="110"/>
        </w:rPr>
        <w:t> </w:t>
      </w:r>
      <w:r>
        <w:rPr>
          <w:w w:val="110"/>
        </w:rPr>
        <w:t>of</w:t>
      </w:r>
      <w:r>
        <w:rPr>
          <w:spacing w:val="-21"/>
          <w:w w:val="110"/>
        </w:rPr>
        <w:t> </w:t>
      </w:r>
      <w:r>
        <w:rPr>
          <w:w w:val="110"/>
        </w:rPr>
        <w:t>these tagged</w:t>
      </w:r>
      <w:r>
        <w:rPr>
          <w:spacing w:val="-24"/>
          <w:w w:val="110"/>
        </w:rPr>
        <w:t> </w:t>
      </w:r>
      <w:r>
        <w:rPr>
          <w:w w:val="110"/>
        </w:rPr>
        <w:t>bands</w:t>
      </w:r>
      <w:r>
        <w:rPr>
          <w:spacing w:val="-24"/>
          <w:w w:val="110"/>
        </w:rPr>
        <w:t> </w:t>
      </w:r>
      <w:r>
        <w:rPr>
          <w:w w:val="110"/>
        </w:rPr>
        <w:t>can</w:t>
      </w:r>
      <w:r>
        <w:rPr>
          <w:spacing w:val="-23"/>
          <w:w w:val="110"/>
        </w:rPr>
        <w:t> </w:t>
      </w:r>
      <w:r>
        <w:rPr>
          <w:w w:val="110"/>
        </w:rPr>
        <w:t>be</w:t>
      </w:r>
      <w:r>
        <w:rPr>
          <w:spacing w:val="-24"/>
          <w:w w:val="110"/>
        </w:rPr>
        <w:t> </w:t>
      </w:r>
      <w:r>
        <w:rPr>
          <w:w w:val="110"/>
        </w:rPr>
        <w:t>used</w:t>
      </w:r>
      <w:r>
        <w:rPr>
          <w:spacing w:val="-24"/>
          <w:w w:val="110"/>
        </w:rPr>
        <w:t> </w:t>
      </w:r>
      <w:r>
        <w:rPr>
          <w:spacing w:val="-3"/>
          <w:w w:val="110"/>
        </w:rPr>
        <w:t>like</w:t>
      </w:r>
      <w:r>
        <w:rPr>
          <w:spacing w:val="-23"/>
          <w:w w:val="110"/>
        </w:rPr>
        <w:t> </w:t>
      </w:r>
      <w:r>
        <w:rPr>
          <w:w w:val="110"/>
        </w:rPr>
        <w:t>a</w:t>
      </w:r>
      <w:r>
        <w:rPr>
          <w:spacing w:val="-24"/>
          <w:w w:val="110"/>
        </w:rPr>
        <w:t> </w:t>
      </w:r>
      <w:r>
        <w:rPr>
          <w:w w:val="110"/>
        </w:rPr>
        <w:t>map</w:t>
      </w:r>
      <w:r>
        <w:rPr>
          <w:spacing w:val="-24"/>
          <w:w w:val="110"/>
        </w:rPr>
        <w:t> </w:t>
      </w:r>
      <w:r>
        <w:rPr>
          <w:w w:val="110"/>
        </w:rPr>
        <w:t>to</w:t>
      </w:r>
      <w:r>
        <w:rPr>
          <w:spacing w:val="-23"/>
          <w:w w:val="110"/>
        </w:rPr>
        <w:t> </w:t>
      </w:r>
      <w:r>
        <w:rPr>
          <w:w w:val="110"/>
        </w:rPr>
        <w:t>help find and then cut out an interesting protein from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gel</w:t>
      </w:r>
      <w:r>
        <w:rPr>
          <w:spacing w:val="-10"/>
          <w:w w:val="110"/>
        </w:rPr>
        <w:t> </w:t>
      </w:r>
      <w:r>
        <w:rPr>
          <w:w w:val="110"/>
        </w:rPr>
        <w:t>for</w:t>
      </w:r>
      <w:r>
        <w:rPr>
          <w:spacing w:val="-10"/>
          <w:w w:val="110"/>
        </w:rPr>
        <w:t> </w:t>
      </w:r>
      <w:r>
        <w:rPr>
          <w:w w:val="110"/>
        </w:rPr>
        <w:t>further</w:t>
      </w:r>
      <w:r>
        <w:rPr>
          <w:spacing w:val="-10"/>
          <w:w w:val="110"/>
        </w:rPr>
        <w:t> </w:t>
      </w:r>
      <w:r>
        <w:rPr>
          <w:w w:val="110"/>
        </w:rPr>
        <w:t>analysis.</w:t>
      </w:r>
    </w:p>
    <w:p>
      <w:pPr>
        <w:spacing w:after="0" w:line="254" w:lineRule="auto"/>
        <w:sectPr>
          <w:type w:val="continuous"/>
          <w:pgSz w:w="11910" w:h="16840"/>
          <w:pgMar w:top="800" w:bottom="1280" w:left="1020" w:right="820"/>
          <w:cols w:num="2" w:equalWidth="0">
            <w:col w:w="5625" w:space="133"/>
            <w:col w:w="4312"/>
          </w:cols>
        </w:sectPr>
      </w:pPr>
    </w:p>
    <w:p>
      <w:pPr>
        <w:pStyle w:val="BodyText"/>
        <w:spacing w:line="254" w:lineRule="auto" w:before="14"/>
        <w:ind w:left="113" w:right="236"/>
      </w:pPr>
      <w:r>
        <w:rPr>
          <w:color w:val="231F20"/>
          <w:w w:val="110"/>
        </w:rPr>
        <w:t>Understanding protein structure, positions on a molecule that become phosphorylated, and where in the cell this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occurs,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drug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discovery.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knowledge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allows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researchers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manipulate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protein and the pathway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involved.</w:t>
      </w:r>
    </w:p>
    <w:p>
      <w:pPr>
        <w:pStyle w:val="BodyText"/>
        <w:spacing w:line="254" w:lineRule="auto" w:before="115"/>
        <w:ind w:left="113" w:right="940"/>
      </w:pPr>
      <w:r>
        <w:rPr>
          <w:color w:val="231F20"/>
          <w:w w:val="110"/>
        </w:rPr>
        <w:t>All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helps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understand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what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goes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wrong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during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disease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process,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target therapies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correct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system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develop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2"/>
          <w:w w:val="110"/>
        </w:rPr>
        <w:t>tests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diagnosis.</w:t>
      </w:r>
    </w:p>
    <w:p>
      <w:pPr>
        <w:pStyle w:val="BodyText"/>
        <w:spacing w:line="254" w:lineRule="auto" w:before="115"/>
        <w:ind w:left="113" w:right="693"/>
        <w:jc w:val="both"/>
      </w:pP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example,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liver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cancer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found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specific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proteins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phosphorylated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cancerous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cells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but not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normal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cells.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Researchers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  <w:position w:val="6"/>
          <w:sz w:val="10"/>
        </w:rPr>
        <w:t>32</w:t>
      </w:r>
      <w:r>
        <w:rPr>
          <w:color w:val="231F20"/>
          <w:w w:val="110"/>
        </w:rPr>
        <w:t>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tagged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phosphorylation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track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reaction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find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out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whether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 can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changed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stop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progression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cancer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liver.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line="199" w:lineRule="auto"/>
        <w:ind w:right="6426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3195002</wp:posOffset>
            </wp:positionH>
            <wp:positionV relativeFrom="paragraph">
              <wp:posOffset>9148</wp:posOffset>
            </wp:positionV>
            <wp:extent cx="3644988" cy="2580257"/>
            <wp:effectExtent l="0" t="0" r="0" b="0"/>
            <wp:wrapNone/>
            <wp:docPr id="13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988" cy="2580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619D"/>
          <w:w w:val="105"/>
        </w:rPr>
        <w:t>Research applications</w:t>
      </w:r>
    </w:p>
    <w:p>
      <w:pPr>
        <w:pStyle w:val="BodyText"/>
        <w:spacing w:line="254" w:lineRule="auto" w:before="31"/>
        <w:ind w:left="113" w:right="6390"/>
      </w:pPr>
      <w:r>
        <w:rPr>
          <w:color w:val="231F20"/>
          <w:w w:val="110"/>
        </w:rPr>
        <w:t>Based on this type of experimental work, companies are beginning to design drugs that can either block or enhance phosphorylation. This may provide drugs that could fight cancer.</w:t>
      </w:r>
    </w:p>
    <w:p>
      <w:pPr>
        <w:pStyle w:val="BodyText"/>
        <w:spacing w:line="254" w:lineRule="auto" w:before="116"/>
        <w:ind w:left="113" w:right="6426"/>
      </w:pPr>
      <w:r>
        <w:rPr>
          <w:color w:val="231F20"/>
          <w:w w:val="110"/>
        </w:rPr>
        <w:t>The anticancer medicine Gleevec is an example of a drug that targets a specific protein in a phosphorylation pathway.</w:t>
      </w:r>
    </w:p>
    <w:p>
      <w:pPr>
        <w:pStyle w:val="BodyText"/>
        <w:spacing w:line="254" w:lineRule="auto" w:before="115"/>
        <w:ind w:left="113" w:right="6503"/>
      </w:pPr>
      <w:r>
        <w:rPr>
          <w:color w:val="231F20"/>
          <w:w w:val="110"/>
        </w:rPr>
        <w:t>Detecting phosphorylation events is also important in the diagnosis of some</w:t>
      </w:r>
    </w:p>
    <w:p>
      <w:pPr>
        <w:pStyle w:val="BodyText"/>
        <w:spacing w:line="254" w:lineRule="auto" w:before="1"/>
        <w:ind w:left="113" w:right="6348"/>
      </w:pPr>
      <w:r>
        <w:rPr>
          <w:color w:val="231F20"/>
          <w:w w:val="105"/>
        </w:rPr>
        <w:t>diseases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Creutzfeldt–Jakob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disease (the human form of mad-cow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disease).</w:t>
      </w:r>
    </w:p>
    <w:sectPr>
      <w:type w:val="continuous"/>
      <w:pgSz w:w="11910" w:h="16840"/>
      <w:pgMar w:top="800" w:bottom="1280" w:left="10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34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936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606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0.4pt;height:23.2pt;mso-position-horizontal-relative:page;mso-position-vertical-relative:page;z-index:-6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ast1253 | Nuclear reactions 7: Protein pathways (fact sheet)</w:t>
                </w:r>
              </w:p>
              <w:p>
                <w:pPr>
                  <w:spacing w:line="249" w:lineRule="auto" w:before="6"/>
                  <w:ind w:left="20" w:right="51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May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5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487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7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951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592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0.4pt;height:23.2pt;mso-position-horizontal-relative:page;mso-position-vertical-relative:page;z-index:-5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ast1253 | Nuclear reactions 7: Protein pathways (fact sheet)</w:t>
                </w:r>
              </w:p>
              <w:p>
                <w:pPr>
                  <w:spacing w:line="249" w:lineRule="auto" w:before="6"/>
                  <w:ind w:left="20" w:right="51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May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587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5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44"/>
      <w:szCs w:val="44"/>
    </w:rPr>
  </w:style>
  <w:style w:styleId="Heading2" w:type="paragraph">
    <w:name w:val="Heading 2"/>
    <w:basedOn w:val="Normal"/>
    <w:uiPriority w:val="1"/>
    <w:qFormat/>
    <w:pPr>
      <w:ind w:left="3534" w:right="490"/>
      <w:outlineLvl w:val="2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footer" Target="footer2.xml"/><Relationship Id="rId11" Type="http://schemas.openxmlformats.org/officeDocument/2006/relationships/image" Target="media/image8.png"/><Relationship Id="rId12" Type="http://schemas.openxmlformats.org/officeDocument/2006/relationships/image" Target="media/image9.jpeg"/><Relationship Id="rId13" Type="http://schemas.openxmlformats.org/officeDocument/2006/relationships/image" Target="media/image10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2020-04-03T06:35:28Z</dcterms:created>
  <dcterms:modified xsi:type="dcterms:W3CDTF">2020-04-03T06:35:28Z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