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E3C4" w14:textId="0AFB87BD" w:rsidR="00521A69" w:rsidRDefault="00521A69" w:rsidP="00521A69">
      <w:pPr>
        <w:pStyle w:val="ListParagraph"/>
        <w:ind w:left="360"/>
        <w:jc w:val="both"/>
        <w:rPr>
          <w:rFonts w:cs="Arial"/>
          <w:sz w:val="18"/>
          <w:szCs w:val="18"/>
          <w:lang w:eastAsia="en-AU"/>
        </w:rPr>
      </w:pPr>
    </w:p>
    <w:p w14:paraId="1521BBE2" w14:textId="6E931BD9" w:rsidR="00521A69" w:rsidRPr="00521A69" w:rsidRDefault="00521A69" w:rsidP="00521A69">
      <w:pPr>
        <w:ind w:left="-142"/>
        <w:jc w:val="both"/>
        <w:rPr>
          <w:rFonts w:cs="Arial"/>
          <w:b/>
          <w:sz w:val="20"/>
          <w:szCs w:val="20"/>
        </w:rPr>
      </w:pPr>
      <w:r w:rsidRPr="00521A69">
        <w:rPr>
          <w:rFonts w:cs="Arial"/>
          <w:b/>
          <w:sz w:val="20"/>
          <w:szCs w:val="20"/>
        </w:rPr>
        <w:t>S</w:t>
      </w:r>
      <w:r>
        <w:rPr>
          <w:rFonts w:cs="Arial"/>
          <w:b/>
          <w:sz w:val="20"/>
          <w:szCs w:val="20"/>
        </w:rPr>
        <w:t>CHEDULE</w:t>
      </w:r>
      <w:r w:rsidRPr="00521A69">
        <w:rPr>
          <w:rFonts w:cs="Arial"/>
          <w:b/>
          <w:sz w:val="20"/>
          <w:szCs w:val="20"/>
        </w:rPr>
        <w:t xml:space="preserve"> C: Maximum credit points granted for UWA students undertaking cross-institutional </w:t>
      </w:r>
      <w:r w:rsidR="00053AEA">
        <w:rPr>
          <w:rFonts w:cs="Arial"/>
          <w:b/>
          <w:sz w:val="20"/>
          <w:szCs w:val="20"/>
        </w:rPr>
        <w:t>enrolment</w:t>
      </w:r>
    </w:p>
    <w:p w14:paraId="4A31934F" w14:textId="77777777" w:rsidR="00521A69" w:rsidRPr="000565C9" w:rsidRDefault="00521A69" w:rsidP="00521A69">
      <w:pPr>
        <w:ind w:left="-142"/>
        <w:jc w:val="both"/>
        <w:rPr>
          <w:rFonts w:cs="Arial"/>
          <w:b/>
          <w:sz w:val="18"/>
          <w:szCs w:val="18"/>
        </w:rPr>
      </w:pPr>
    </w:p>
    <w:tbl>
      <w:tblPr>
        <w:tblStyle w:val="TableGrid"/>
        <w:tblW w:w="0" w:type="auto"/>
        <w:tblInd w:w="-34" w:type="dxa"/>
        <w:tblLook w:val="04A0" w:firstRow="1" w:lastRow="0" w:firstColumn="1" w:lastColumn="0" w:noHBand="0" w:noVBand="1"/>
      </w:tblPr>
      <w:tblGrid>
        <w:gridCol w:w="2694"/>
        <w:gridCol w:w="2551"/>
        <w:gridCol w:w="9356"/>
      </w:tblGrid>
      <w:tr w:rsidR="00521A69" w:rsidRPr="00521A69" w14:paraId="1594CD85" w14:textId="77777777" w:rsidTr="00521A69">
        <w:tc>
          <w:tcPr>
            <w:tcW w:w="2694" w:type="dxa"/>
            <w:shd w:val="clear" w:color="auto" w:fill="D9D9D9" w:themeFill="background1" w:themeFillShade="D9"/>
          </w:tcPr>
          <w:p w14:paraId="6AED1F1B" w14:textId="77777777" w:rsidR="00521A69" w:rsidRPr="00521A69" w:rsidRDefault="00521A69" w:rsidP="00BE7779">
            <w:pPr>
              <w:jc w:val="center"/>
              <w:rPr>
                <w:rFonts w:cs="Arial"/>
                <w:b/>
                <w:szCs w:val="20"/>
                <w:lang w:eastAsia="en-AU"/>
              </w:rPr>
            </w:pPr>
            <w:r w:rsidRPr="00521A69">
              <w:rPr>
                <w:rFonts w:cs="Arial"/>
                <w:b/>
                <w:szCs w:val="20"/>
                <w:lang w:eastAsia="en-AU"/>
              </w:rPr>
              <w:t>A student seeks to undertake a unit or units at the host institution because:</w:t>
            </w:r>
          </w:p>
          <w:p w14:paraId="25CF2DBF" w14:textId="77777777" w:rsidR="00521A69" w:rsidRPr="00521A69" w:rsidRDefault="00521A69" w:rsidP="00BE7779">
            <w:pPr>
              <w:jc w:val="center"/>
              <w:rPr>
                <w:rFonts w:cs="Arial"/>
                <w:b/>
                <w:szCs w:val="20"/>
                <w:lang w:eastAsia="en-AU"/>
              </w:rPr>
            </w:pPr>
          </w:p>
          <w:p w14:paraId="181AB143" w14:textId="77777777" w:rsidR="00521A69" w:rsidRPr="00521A69" w:rsidRDefault="00521A69" w:rsidP="00BE7779">
            <w:pPr>
              <w:jc w:val="center"/>
              <w:rPr>
                <w:rFonts w:cs="Arial"/>
                <w:b/>
                <w:szCs w:val="20"/>
              </w:rPr>
            </w:pPr>
          </w:p>
        </w:tc>
        <w:tc>
          <w:tcPr>
            <w:tcW w:w="2551" w:type="dxa"/>
            <w:shd w:val="clear" w:color="auto" w:fill="D9D9D9" w:themeFill="background1" w:themeFillShade="D9"/>
          </w:tcPr>
          <w:p w14:paraId="530F05A5" w14:textId="77777777" w:rsidR="00521A69" w:rsidRPr="00521A69" w:rsidRDefault="00521A69" w:rsidP="00BE7779">
            <w:pPr>
              <w:jc w:val="center"/>
              <w:rPr>
                <w:rFonts w:cs="Arial"/>
                <w:b/>
                <w:szCs w:val="20"/>
              </w:rPr>
            </w:pPr>
            <w:r w:rsidRPr="00521A69">
              <w:rPr>
                <w:rFonts w:cs="Arial"/>
                <w:b/>
                <w:szCs w:val="20"/>
              </w:rPr>
              <w:t>Students enrolled at:</w:t>
            </w:r>
          </w:p>
        </w:tc>
        <w:tc>
          <w:tcPr>
            <w:tcW w:w="9356" w:type="dxa"/>
            <w:shd w:val="clear" w:color="auto" w:fill="D9D9D9" w:themeFill="background1" w:themeFillShade="D9"/>
          </w:tcPr>
          <w:p w14:paraId="02586E86" w14:textId="77777777" w:rsidR="00521A69" w:rsidRPr="00521A69" w:rsidRDefault="00521A69" w:rsidP="00BE7779">
            <w:pPr>
              <w:jc w:val="center"/>
              <w:rPr>
                <w:rFonts w:cs="Arial"/>
                <w:b/>
                <w:szCs w:val="20"/>
              </w:rPr>
            </w:pPr>
            <w:r w:rsidRPr="00521A69">
              <w:rPr>
                <w:rFonts w:cs="Arial"/>
                <w:b/>
                <w:szCs w:val="20"/>
                <w:lang w:eastAsia="en-AU"/>
              </w:rPr>
              <w:t>Maximum number of units in which the student is normally permitted to enrol at the host institution and for which the student is subsequently permitted to receive credit towards their course at the University:</w:t>
            </w:r>
          </w:p>
        </w:tc>
      </w:tr>
      <w:tr w:rsidR="00521A69" w:rsidRPr="00521A69" w14:paraId="504EC52A" w14:textId="77777777" w:rsidTr="00521A69">
        <w:tc>
          <w:tcPr>
            <w:tcW w:w="2694" w:type="dxa"/>
            <w:vMerge w:val="restart"/>
          </w:tcPr>
          <w:p w14:paraId="089D1BB3" w14:textId="77777777" w:rsidR="00521A69" w:rsidRPr="00521A69" w:rsidRDefault="00521A69" w:rsidP="00BE7779">
            <w:pPr>
              <w:jc w:val="both"/>
              <w:rPr>
                <w:rFonts w:cs="Arial"/>
                <w:szCs w:val="20"/>
                <w:lang w:eastAsia="en-AU"/>
              </w:rPr>
            </w:pPr>
            <w:r w:rsidRPr="00521A69">
              <w:rPr>
                <w:rFonts w:cs="Arial"/>
                <w:szCs w:val="20"/>
                <w:lang w:eastAsia="en-AU"/>
              </w:rPr>
              <w:t>the equivalent unit is not available at the University</w:t>
            </w:r>
          </w:p>
          <w:p w14:paraId="0E3C44DF" w14:textId="77777777" w:rsidR="00521A69" w:rsidRPr="00521A69" w:rsidRDefault="00521A69" w:rsidP="00BE7779">
            <w:pPr>
              <w:jc w:val="both"/>
              <w:rPr>
                <w:rFonts w:cs="Arial"/>
                <w:szCs w:val="20"/>
                <w:lang w:eastAsia="en-AU"/>
              </w:rPr>
            </w:pPr>
          </w:p>
          <w:p w14:paraId="392AE43F" w14:textId="77777777" w:rsidR="00521A69" w:rsidRPr="00521A69" w:rsidRDefault="00521A69" w:rsidP="00BE7779">
            <w:pPr>
              <w:jc w:val="both"/>
              <w:rPr>
                <w:rFonts w:cs="Arial"/>
                <w:szCs w:val="20"/>
                <w:lang w:eastAsia="en-AU"/>
              </w:rPr>
            </w:pPr>
          </w:p>
          <w:p w14:paraId="3D83186F" w14:textId="77777777" w:rsidR="00521A69" w:rsidRPr="00521A69" w:rsidRDefault="00521A69" w:rsidP="00BE7779">
            <w:pPr>
              <w:jc w:val="both"/>
              <w:rPr>
                <w:rFonts w:cs="Arial"/>
                <w:szCs w:val="20"/>
                <w:lang w:eastAsia="en-AU"/>
              </w:rPr>
            </w:pPr>
          </w:p>
          <w:p w14:paraId="694D221A" w14:textId="77777777" w:rsidR="00521A69" w:rsidRPr="00521A69" w:rsidRDefault="00521A69" w:rsidP="00BE7779">
            <w:pPr>
              <w:jc w:val="both"/>
              <w:rPr>
                <w:rFonts w:cs="Arial"/>
                <w:szCs w:val="20"/>
              </w:rPr>
            </w:pPr>
          </w:p>
        </w:tc>
        <w:tc>
          <w:tcPr>
            <w:tcW w:w="2551" w:type="dxa"/>
          </w:tcPr>
          <w:p w14:paraId="4F224019" w14:textId="77777777" w:rsidR="00521A69" w:rsidRPr="00521A69" w:rsidRDefault="00521A69" w:rsidP="00BE7779">
            <w:pPr>
              <w:jc w:val="both"/>
              <w:rPr>
                <w:rFonts w:cs="Arial"/>
                <w:szCs w:val="20"/>
              </w:rPr>
            </w:pPr>
            <w:r w:rsidRPr="00521A69">
              <w:rPr>
                <w:rFonts w:cs="Arial"/>
                <w:szCs w:val="20"/>
              </w:rPr>
              <w:t>UWA Crawley Campus</w:t>
            </w:r>
          </w:p>
          <w:p w14:paraId="7001D433" w14:textId="77777777" w:rsidR="00521A69" w:rsidRPr="00521A69" w:rsidRDefault="00521A69" w:rsidP="00BE7779">
            <w:pPr>
              <w:jc w:val="both"/>
              <w:rPr>
                <w:rFonts w:cs="Arial"/>
                <w:szCs w:val="20"/>
              </w:rPr>
            </w:pPr>
          </w:p>
          <w:p w14:paraId="11368F8F" w14:textId="77777777" w:rsidR="00521A69" w:rsidRPr="00521A69" w:rsidRDefault="00521A69" w:rsidP="00BE7779">
            <w:pPr>
              <w:jc w:val="both"/>
              <w:rPr>
                <w:rFonts w:cs="Arial"/>
                <w:szCs w:val="20"/>
              </w:rPr>
            </w:pPr>
          </w:p>
        </w:tc>
        <w:tc>
          <w:tcPr>
            <w:tcW w:w="9356" w:type="dxa"/>
          </w:tcPr>
          <w:p w14:paraId="752E0B22" w14:textId="77777777" w:rsidR="00521A69" w:rsidRPr="00521A69" w:rsidRDefault="00521A69" w:rsidP="00BE7779">
            <w:pPr>
              <w:jc w:val="both"/>
              <w:rPr>
                <w:rFonts w:cs="Arial"/>
                <w:szCs w:val="20"/>
              </w:rPr>
            </w:pPr>
            <w:r w:rsidRPr="00521A69">
              <w:rPr>
                <w:rFonts w:cs="Arial"/>
                <w:szCs w:val="20"/>
              </w:rPr>
              <w:t>is the equivalent of 2 standard units (12 credit points)</w:t>
            </w:r>
          </w:p>
          <w:p w14:paraId="6B736C61" w14:textId="77777777" w:rsidR="00053AEA" w:rsidRDefault="00053AEA" w:rsidP="00053AEA">
            <w:pPr>
              <w:jc w:val="both"/>
              <w:rPr>
                <w:rFonts w:cs="Arial"/>
                <w:szCs w:val="20"/>
              </w:rPr>
            </w:pPr>
            <w:r>
              <w:rPr>
                <w:rFonts w:cs="Arial"/>
                <w:szCs w:val="20"/>
              </w:rPr>
              <w:t>NB. A rule waiver will need to be sought for an exemption to meet course requirements, scholarship conditions or other compelling circumstances</w:t>
            </w:r>
          </w:p>
          <w:p w14:paraId="026DFB4F" w14:textId="1AB987AC" w:rsidR="00286D35" w:rsidRPr="00521A69" w:rsidRDefault="00286D35" w:rsidP="00053AEA">
            <w:pPr>
              <w:jc w:val="both"/>
              <w:rPr>
                <w:rFonts w:cs="Arial"/>
                <w:szCs w:val="20"/>
              </w:rPr>
            </w:pPr>
          </w:p>
        </w:tc>
      </w:tr>
      <w:tr w:rsidR="00521A69" w:rsidRPr="00521A69" w14:paraId="04414ED2" w14:textId="77777777" w:rsidTr="00521A69">
        <w:tc>
          <w:tcPr>
            <w:tcW w:w="2694" w:type="dxa"/>
            <w:vMerge/>
          </w:tcPr>
          <w:p w14:paraId="78EEB054" w14:textId="77777777" w:rsidR="00521A69" w:rsidRPr="00521A69" w:rsidRDefault="00521A69" w:rsidP="00BE7779">
            <w:pPr>
              <w:jc w:val="both"/>
              <w:rPr>
                <w:rFonts w:cs="Arial"/>
                <w:szCs w:val="20"/>
              </w:rPr>
            </w:pPr>
          </w:p>
        </w:tc>
        <w:tc>
          <w:tcPr>
            <w:tcW w:w="2551" w:type="dxa"/>
          </w:tcPr>
          <w:p w14:paraId="77EF6FB6" w14:textId="77777777" w:rsidR="00521A69" w:rsidRPr="00521A69" w:rsidRDefault="00521A69" w:rsidP="00BE7779">
            <w:pPr>
              <w:jc w:val="both"/>
              <w:rPr>
                <w:rFonts w:cs="Arial"/>
                <w:szCs w:val="20"/>
              </w:rPr>
            </w:pPr>
            <w:r w:rsidRPr="00521A69">
              <w:rPr>
                <w:rFonts w:cs="Arial"/>
                <w:szCs w:val="20"/>
              </w:rPr>
              <w:t>UWA Regional Campus (Albany)</w:t>
            </w:r>
          </w:p>
        </w:tc>
        <w:tc>
          <w:tcPr>
            <w:tcW w:w="9356" w:type="dxa"/>
          </w:tcPr>
          <w:p w14:paraId="379D9A38" w14:textId="77777777" w:rsidR="00521A69" w:rsidRPr="00521A69" w:rsidRDefault="00521A69" w:rsidP="00BE7779">
            <w:pPr>
              <w:jc w:val="both"/>
              <w:rPr>
                <w:rFonts w:cs="Arial"/>
                <w:szCs w:val="20"/>
              </w:rPr>
            </w:pPr>
            <w:r w:rsidRPr="00521A69">
              <w:rPr>
                <w:rFonts w:cs="Arial"/>
                <w:szCs w:val="20"/>
              </w:rPr>
              <w:t>is the equivalent of 8 standard units (48 credit points)</w:t>
            </w:r>
          </w:p>
          <w:p w14:paraId="34322EFC" w14:textId="77777777" w:rsidR="00521A69" w:rsidRPr="00521A69" w:rsidRDefault="00521A69" w:rsidP="00BE7779">
            <w:pPr>
              <w:jc w:val="both"/>
              <w:rPr>
                <w:rFonts w:cs="Arial"/>
                <w:szCs w:val="20"/>
              </w:rPr>
            </w:pPr>
          </w:p>
        </w:tc>
      </w:tr>
      <w:tr w:rsidR="00521A69" w:rsidRPr="00521A69" w14:paraId="05CB5D39" w14:textId="77777777" w:rsidTr="00521A69">
        <w:tc>
          <w:tcPr>
            <w:tcW w:w="2694" w:type="dxa"/>
          </w:tcPr>
          <w:p w14:paraId="1C8428AC" w14:textId="77777777" w:rsidR="00053AEA" w:rsidRPr="00521A69" w:rsidRDefault="00521A69" w:rsidP="00053AEA">
            <w:pPr>
              <w:jc w:val="both"/>
              <w:rPr>
                <w:rFonts w:cs="Arial"/>
                <w:szCs w:val="20"/>
                <w:lang w:eastAsia="en-AU"/>
              </w:rPr>
            </w:pPr>
            <w:r w:rsidRPr="00521A69">
              <w:rPr>
                <w:rFonts w:cs="Arial"/>
                <w:szCs w:val="20"/>
                <w:lang w:eastAsia="en-AU"/>
              </w:rPr>
              <w:t>the student is moving interstate or overseas</w:t>
            </w:r>
            <w:r w:rsidR="00286D35">
              <w:rPr>
                <w:rFonts w:cs="Arial"/>
                <w:szCs w:val="20"/>
                <w:lang w:eastAsia="en-AU"/>
              </w:rPr>
              <w:t xml:space="preserve"> </w:t>
            </w:r>
            <w:r w:rsidR="00053AEA">
              <w:rPr>
                <w:rFonts w:cs="Arial"/>
                <w:szCs w:val="20"/>
                <w:lang w:eastAsia="en-AU"/>
              </w:rPr>
              <w:t>indefinitely – evidence is required</w:t>
            </w:r>
          </w:p>
          <w:p w14:paraId="58797686" w14:textId="151906D5" w:rsidR="00521A69" w:rsidRPr="00521A69" w:rsidRDefault="00521A69" w:rsidP="00BE7779">
            <w:pPr>
              <w:jc w:val="both"/>
              <w:rPr>
                <w:rFonts w:cs="Arial"/>
                <w:szCs w:val="20"/>
                <w:lang w:eastAsia="en-AU"/>
              </w:rPr>
            </w:pPr>
          </w:p>
          <w:p w14:paraId="46C4E146" w14:textId="77777777" w:rsidR="00521A69" w:rsidRPr="00521A69" w:rsidRDefault="00521A69" w:rsidP="00BE7779">
            <w:pPr>
              <w:jc w:val="both"/>
              <w:rPr>
                <w:rFonts w:cs="Arial"/>
                <w:szCs w:val="20"/>
                <w:lang w:eastAsia="en-AU"/>
              </w:rPr>
            </w:pPr>
          </w:p>
          <w:p w14:paraId="0A03182B" w14:textId="77777777" w:rsidR="00521A69" w:rsidRPr="00521A69" w:rsidRDefault="00521A69" w:rsidP="00BE7779">
            <w:pPr>
              <w:jc w:val="both"/>
              <w:rPr>
                <w:rFonts w:cs="Arial"/>
                <w:szCs w:val="20"/>
              </w:rPr>
            </w:pPr>
          </w:p>
        </w:tc>
        <w:tc>
          <w:tcPr>
            <w:tcW w:w="2551" w:type="dxa"/>
          </w:tcPr>
          <w:p w14:paraId="33C2E604" w14:textId="77777777" w:rsidR="00521A69" w:rsidRPr="00521A69" w:rsidRDefault="00521A69" w:rsidP="00BE7779">
            <w:pPr>
              <w:jc w:val="both"/>
              <w:rPr>
                <w:rFonts w:cs="Arial"/>
                <w:szCs w:val="20"/>
              </w:rPr>
            </w:pPr>
            <w:r w:rsidRPr="00521A69">
              <w:rPr>
                <w:rFonts w:cs="Arial"/>
                <w:szCs w:val="20"/>
              </w:rPr>
              <w:t>UWA</w:t>
            </w:r>
          </w:p>
        </w:tc>
        <w:tc>
          <w:tcPr>
            <w:tcW w:w="9356" w:type="dxa"/>
            <w:shd w:val="clear" w:color="auto" w:fill="FFFFFF" w:themeFill="background1"/>
          </w:tcPr>
          <w:p w14:paraId="56FEEA5D" w14:textId="77777777" w:rsidR="00521A69" w:rsidRPr="00521A69" w:rsidRDefault="00521A69" w:rsidP="00BE7779">
            <w:pPr>
              <w:jc w:val="both"/>
              <w:rPr>
                <w:szCs w:val="20"/>
                <w:bdr w:val="none" w:sz="0" w:space="0" w:color="auto" w:frame="1"/>
                <w:shd w:val="clear" w:color="auto" w:fill="FFFFFF" w:themeFill="background1"/>
              </w:rPr>
            </w:pPr>
            <w:r w:rsidRPr="00521A69">
              <w:rPr>
                <w:rFonts w:cs="Arial"/>
                <w:szCs w:val="20"/>
              </w:rPr>
              <w:t xml:space="preserve">in accordance with the </w:t>
            </w:r>
            <w:hyperlink r:id="rId6" w:history="1">
              <w:r w:rsidRPr="00521A69">
                <w:rPr>
                  <w:rStyle w:val="Hyperlink"/>
                  <w:szCs w:val="20"/>
                  <w:bdr w:val="none" w:sz="0" w:space="0" w:color="auto" w:frame="1"/>
                  <w:shd w:val="clear" w:color="auto" w:fill="FFFFFF" w:themeFill="background1"/>
                </w:rPr>
                <w:t>University Policy on Credit transfer, advanced standing and recognition of prior learning</w:t>
              </w:r>
              <w:r w:rsidRPr="00521A69">
                <w:rPr>
                  <w:rStyle w:val="Hyperlink"/>
                  <w:rFonts w:cs="Arial"/>
                  <w:szCs w:val="20"/>
                  <w:shd w:val="clear" w:color="auto" w:fill="FFFFFF" w:themeFill="background1"/>
                </w:rPr>
                <w:t> (UP11/34)</w:t>
              </w:r>
            </w:hyperlink>
          </w:p>
          <w:p w14:paraId="0C71D37F" w14:textId="77777777" w:rsidR="00521A69" w:rsidRPr="00521A69" w:rsidRDefault="00521A69" w:rsidP="00BE7779">
            <w:pPr>
              <w:jc w:val="both"/>
              <w:rPr>
                <w:rFonts w:cs="Arial"/>
                <w:szCs w:val="20"/>
              </w:rPr>
            </w:pPr>
          </w:p>
        </w:tc>
      </w:tr>
      <w:tr w:rsidR="00A84C6C" w:rsidRPr="00521A69" w14:paraId="2CF0694F" w14:textId="77777777" w:rsidTr="00521A69">
        <w:tc>
          <w:tcPr>
            <w:tcW w:w="2694" w:type="dxa"/>
          </w:tcPr>
          <w:p w14:paraId="65C3FC04" w14:textId="77777777" w:rsidR="00A84C6C" w:rsidRPr="00521A69" w:rsidRDefault="00A84C6C" w:rsidP="00BE7779">
            <w:pPr>
              <w:jc w:val="both"/>
              <w:rPr>
                <w:rFonts w:cs="Arial"/>
                <w:szCs w:val="20"/>
                <w:lang w:eastAsia="en-AU"/>
              </w:rPr>
            </w:pPr>
            <w:r>
              <w:rPr>
                <w:rFonts w:cs="Arial"/>
                <w:szCs w:val="20"/>
                <w:lang w:eastAsia="en-AU"/>
              </w:rPr>
              <w:t>If the student is an HDR student</w:t>
            </w:r>
          </w:p>
        </w:tc>
        <w:tc>
          <w:tcPr>
            <w:tcW w:w="2551" w:type="dxa"/>
          </w:tcPr>
          <w:p w14:paraId="2AA81B04" w14:textId="77777777" w:rsidR="00A84C6C" w:rsidRPr="00521A69" w:rsidRDefault="00A84C6C" w:rsidP="00BE7779">
            <w:pPr>
              <w:jc w:val="both"/>
              <w:rPr>
                <w:rFonts w:cs="Arial"/>
                <w:szCs w:val="20"/>
              </w:rPr>
            </w:pPr>
            <w:r>
              <w:rPr>
                <w:rFonts w:cs="Arial"/>
                <w:szCs w:val="20"/>
              </w:rPr>
              <w:t>UWA</w:t>
            </w:r>
          </w:p>
        </w:tc>
        <w:tc>
          <w:tcPr>
            <w:tcW w:w="9356" w:type="dxa"/>
            <w:shd w:val="clear" w:color="auto" w:fill="FFFFFF" w:themeFill="background1"/>
          </w:tcPr>
          <w:p w14:paraId="5FE6AB4C" w14:textId="77777777" w:rsidR="00A84C6C" w:rsidRDefault="00A84C6C" w:rsidP="003855DA">
            <w:pPr>
              <w:jc w:val="both"/>
              <w:rPr>
                <w:rFonts w:cs="Arial"/>
                <w:szCs w:val="20"/>
              </w:rPr>
            </w:pPr>
            <w:r>
              <w:rPr>
                <w:rFonts w:cs="Arial"/>
                <w:szCs w:val="20"/>
              </w:rPr>
              <w:t>The student may only be enrolled in coursework units at UWA or any other institution in accordance with the rules of their course.  In no case may a student be enrolled in coursework representing more than one third of their course.  Subject to that, PhD and Master by Research students may be enrolled in up to 24 (UWA equivalent) points of coursework, regardless of where that occurs.</w:t>
            </w:r>
          </w:p>
          <w:p w14:paraId="0E214212" w14:textId="66D3A17A" w:rsidR="00FE7AF0" w:rsidRPr="00521A69" w:rsidRDefault="00FE7AF0" w:rsidP="003855DA">
            <w:pPr>
              <w:jc w:val="both"/>
              <w:rPr>
                <w:rFonts w:cs="Arial"/>
                <w:szCs w:val="20"/>
              </w:rPr>
            </w:pPr>
          </w:p>
        </w:tc>
      </w:tr>
    </w:tbl>
    <w:p w14:paraId="1E04BB17" w14:textId="77777777" w:rsidR="00521A69" w:rsidRDefault="00521A69" w:rsidP="00521A69">
      <w:pPr>
        <w:jc w:val="both"/>
        <w:rPr>
          <w:rFonts w:cs="Arial"/>
          <w:szCs w:val="22"/>
        </w:rPr>
      </w:pPr>
    </w:p>
    <w:p w14:paraId="368A2E75" w14:textId="77777777" w:rsidR="00521A69" w:rsidRDefault="00521A69" w:rsidP="00521A69"/>
    <w:p w14:paraId="6E2514D2" w14:textId="77777777" w:rsidR="00521A69" w:rsidRDefault="00521A69" w:rsidP="00521A69"/>
    <w:p w14:paraId="1F9C9FB9" w14:textId="77777777" w:rsidR="00847368" w:rsidRDefault="00551539"/>
    <w:sectPr w:rsidR="00847368" w:rsidSect="00521A69">
      <w:footerReference w:type="default" r:id="rId7"/>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78F3" w14:textId="77777777" w:rsidR="002A7A47" w:rsidRDefault="00077D78">
      <w:r>
        <w:separator/>
      </w:r>
    </w:p>
  </w:endnote>
  <w:endnote w:type="continuationSeparator" w:id="0">
    <w:p w14:paraId="2087E36D" w14:textId="77777777" w:rsidR="002A7A47" w:rsidRDefault="0007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732384"/>
      <w:docPartObj>
        <w:docPartGallery w:val="Page Numbers (Bottom of Page)"/>
        <w:docPartUnique/>
      </w:docPartObj>
    </w:sdtPr>
    <w:sdtEndPr>
      <w:rPr>
        <w:noProof/>
      </w:rPr>
    </w:sdtEndPr>
    <w:sdtContent>
      <w:p w14:paraId="02255D72" w14:textId="77777777" w:rsidR="0040409D" w:rsidRDefault="00521A69">
        <w:pPr>
          <w:pStyle w:val="Footer"/>
          <w:jc w:val="right"/>
        </w:pPr>
        <w:r>
          <w:fldChar w:fldCharType="begin"/>
        </w:r>
        <w:r>
          <w:instrText xml:space="preserve"> PAGE   \* MERGEFORMAT </w:instrText>
        </w:r>
        <w:r>
          <w:fldChar w:fldCharType="separate"/>
        </w:r>
        <w:r w:rsidR="00B8338F">
          <w:rPr>
            <w:noProof/>
          </w:rPr>
          <w:t>1</w:t>
        </w:r>
        <w:r>
          <w:rPr>
            <w:noProof/>
          </w:rPr>
          <w:fldChar w:fldCharType="end"/>
        </w:r>
      </w:p>
    </w:sdtContent>
  </w:sdt>
  <w:p w14:paraId="6E7E7EA1" w14:textId="77777777" w:rsidR="0040409D" w:rsidRDefault="00551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312E" w14:textId="77777777" w:rsidR="002A7A47" w:rsidRDefault="00077D78">
      <w:r>
        <w:separator/>
      </w:r>
    </w:p>
  </w:footnote>
  <w:footnote w:type="continuationSeparator" w:id="0">
    <w:p w14:paraId="27277617" w14:textId="77777777" w:rsidR="002A7A47" w:rsidRDefault="00077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A69"/>
    <w:rsid w:val="00053AEA"/>
    <w:rsid w:val="00077D78"/>
    <w:rsid w:val="000A36E0"/>
    <w:rsid w:val="00202ED5"/>
    <w:rsid w:val="00276881"/>
    <w:rsid w:val="00286D35"/>
    <w:rsid w:val="002A7A47"/>
    <w:rsid w:val="003025B1"/>
    <w:rsid w:val="003855DA"/>
    <w:rsid w:val="00521A69"/>
    <w:rsid w:val="00551539"/>
    <w:rsid w:val="00A84C6C"/>
    <w:rsid w:val="00B8338F"/>
    <w:rsid w:val="00C33D85"/>
    <w:rsid w:val="00FE7A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4EC70"/>
  <w15:docId w15:val="{9B08B373-8C4D-4828-B5B8-309F07AF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olicy"/>
    <w:qFormat/>
    <w:rsid w:val="00521A6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A69"/>
    <w:pPr>
      <w:ind w:left="720"/>
      <w:contextualSpacing/>
    </w:pPr>
  </w:style>
  <w:style w:type="table" w:styleId="TableGrid">
    <w:name w:val="Table Grid"/>
    <w:basedOn w:val="TableNormal"/>
    <w:rsid w:val="00521A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A69"/>
    <w:rPr>
      <w:color w:val="0000FF" w:themeColor="hyperlink"/>
      <w:u w:val="single"/>
    </w:rPr>
  </w:style>
  <w:style w:type="paragraph" w:styleId="Footer">
    <w:name w:val="footer"/>
    <w:basedOn w:val="Normal"/>
    <w:link w:val="FooterChar"/>
    <w:uiPriority w:val="99"/>
    <w:unhideWhenUsed/>
    <w:rsid w:val="00521A69"/>
    <w:pPr>
      <w:tabs>
        <w:tab w:val="center" w:pos="4513"/>
        <w:tab w:val="right" w:pos="9026"/>
      </w:tabs>
    </w:pPr>
  </w:style>
  <w:style w:type="character" w:customStyle="1" w:styleId="FooterChar">
    <w:name w:val="Footer Char"/>
    <w:basedOn w:val="DefaultParagraphFont"/>
    <w:link w:val="Footer"/>
    <w:uiPriority w:val="99"/>
    <w:rsid w:val="00521A69"/>
    <w:rPr>
      <w:rFonts w:ascii="Arial" w:eastAsia="Times New Roman" w:hAnsi="Arial" w:cs="Times New Roman"/>
      <w:szCs w:val="24"/>
    </w:rPr>
  </w:style>
  <w:style w:type="paragraph" w:styleId="BalloonText">
    <w:name w:val="Balloon Text"/>
    <w:basedOn w:val="Normal"/>
    <w:link w:val="BalloonTextChar"/>
    <w:uiPriority w:val="99"/>
    <w:semiHidden/>
    <w:unhideWhenUsed/>
    <w:rsid w:val="00A84C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4C6C"/>
    <w:rPr>
      <w:rFonts w:ascii="Lucida Grande" w:eastAsia="Times New Roman" w:hAnsi="Lucida Grande" w:cs="Lucida Grande"/>
      <w:sz w:val="18"/>
      <w:szCs w:val="18"/>
    </w:rPr>
  </w:style>
  <w:style w:type="paragraph" w:styleId="Revision">
    <w:name w:val="Revision"/>
    <w:hidden/>
    <w:uiPriority w:val="99"/>
    <w:semiHidden/>
    <w:rsid w:val="00FE7AF0"/>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ernance.uwa.edu.au/procedures/policies/policies-and-procedures?policy=UP11%2F3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Kabilan Krishnasamy</dc:creator>
  <cp:lastModifiedBy>Dr Kabilan Krishnasamy</cp:lastModifiedBy>
  <cp:revision>10</cp:revision>
  <dcterms:created xsi:type="dcterms:W3CDTF">2018-09-03T03:41:00Z</dcterms:created>
  <dcterms:modified xsi:type="dcterms:W3CDTF">2023-03-16T22:40:00Z</dcterms:modified>
</cp:coreProperties>
</file>