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BB05" w14:textId="77777777" w:rsidR="007B54DB" w:rsidRPr="001E2B75" w:rsidRDefault="000A3943" w:rsidP="00351DA7">
      <w:pPr>
        <w:jc w:val="center"/>
        <w:rPr>
          <w:rFonts w:ascii="Arial" w:hAnsi="Arial" w:cs="Arial"/>
          <w:b/>
          <w:sz w:val="20"/>
          <w:szCs w:val="20"/>
        </w:rPr>
      </w:pPr>
      <w:r w:rsidRPr="001E2B75">
        <w:rPr>
          <w:rFonts w:ascii="Arial" w:hAnsi="Arial" w:cs="Arial"/>
          <w:b/>
          <w:sz w:val="20"/>
          <w:szCs w:val="20"/>
        </w:rPr>
        <w:t>S</w:t>
      </w:r>
      <w:r w:rsidR="00AC72FD">
        <w:rPr>
          <w:rFonts w:ascii="Arial" w:hAnsi="Arial" w:cs="Arial"/>
          <w:b/>
          <w:sz w:val="20"/>
          <w:szCs w:val="20"/>
        </w:rPr>
        <w:t>CHEDULE</w:t>
      </w:r>
      <w:r w:rsidRPr="001E2B75">
        <w:rPr>
          <w:rFonts w:ascii="Arial" w:hAnsi="Arial" w:cs="Arial"/>
          <w:b/>
          <w:sz w:val="20"/>
          <w:szCs w:val="20"/>
        </w:rPr>
        <w:t xml:space="preserve"> B: </w:t>
      </w:r>
      <w:r w:rsidR="00532E20">
        <w:rPr>
          <w:rFonts w:ascii="Arial" w:hAnsi="Arial" w:cs="Arial"/>
          <w:b/>
          <w:sz w:val="20"/>
          <w:szCs w:val="20"/>
        </w:rPr>
        <w:t>University d</w:t>
      </w:r>
      <w:r w:rsidR="000B7DA7">
        <w:rPr>
          <w:rFonts w:ascii="Arial" w:hAnsi="Arial" w:cs="Arial"/>
          <w:b/>
          <w:sz w:val="20"/>
          <w:szCs w:val="20"/>
        </w:rPr>
        <w:t>ecisions</w:t>
      </w:r>
      <w:r w:rsidR="00532E20">
        <w:rPr>
          <w:rFonts w:ascii="Arial" w:hAnsi="Arial" w:cs="Arial"/>
          <w:b/>
          <w:sz w:val="20"/>
          <w:szCs w:val="20"/>
        </w:rPr>
        <w:t xml:space="preserve"> affecting s</w:t>
      </w:r>
      <w:r w:rsidR="00351DA7" w:rsidRPr="001E2B75">
        <w:rPr>
          <w:rFonts w:ascii="Arial" w:hAnsi="Arial" w:cs="Arial"/>
          <w:b/>
          <w:sz w:val="20"/>
          <w:szCs w:val="20"/>
        </w:rPr>
        <w:t>tudent</w:t>
      </w:r>
      <w:r w:rsidR="00D36271" w:rsidRPr="001E2B75">
        <w:rPr>
          <w:rFonts w:ascii="Arial" w:hAnsi="Arial" w:cs="Arial"/>
          <w:b/>
          <w:sz w:val="20"/>
          <w:szCs w:val="20"/>
        </w:rPr>
        <w:t xml:space="preserve"> enrolment</w:t>
      </w:r>
      <w:r w:rsidR="00351DA7" w:rsidRPr="001E2B75">
        <w:rPr>
          <w:rFonts w:ascii="Arial" w:hAnsi="Arial" w:cs="Arial"/>
          <w:b/>
          <w:sz w:val="20"/>
          <w:szCs w:val="20"/>
        </w:rPr>
        <w:t xml:space="preserve"> </w:t>
      </w:r>
      <w:r w:rsidR="000B7DA7">
        <w:rPr>
          <w:rFonts w:ascii="Arial" w:hAnsi="Arial" w:cs="Arial"/>
          <w:b/>
          <w:sz w:val="20"/>
          <w:szCs w:val="20"/>
        </w:rPr>
        <w:t>and eligibility for readmission</w:t>
      </w:r>
    </w:p>
    <w:tbl>
      <w:tblPr>
        <w:tblStyle w:val="TableGrid"/>
        <w:tblW w:w="22114" w:type="dxa"/>
        <w:tblInd w:w="-601" w:type="dxa"/>
        <w:tblLook w:val="04A0" w:firstRow="1" w:lastRow="0" w:firstColumn="1" w:lastColumn="0" w:noHBand="0" w:noVBand="1"/>
      </w:tblPr>
      <w:tblGrid>
        <w:gridCol w:w="2825"/>
        <w:gridCol w:w="1095"/>
        <w:gridCol w:w="3105"/>
        <w:gridCol w:w="4741"/>
        <w:gridCol w:w="5245"/>
        <w:gridCol w:w="5103"/>
      </w:tblGrid>
      <w:tr w:rsidR="00560D90" w:rsidRPr="00D308E0" w14:paraId="3281C558" w14:textId="77777777" w:rsidTr="00031F52">
        <w:tc>
          <w:tcPr>
            <w:tcW w:w="2825" w:type="dxa"/>
            <w:shd w:val="clear" w:color="auto" w:fill="BFBFBF" w:themeFill="background1" w:themeFillShade="BF"/>
          </w:tcPr>
          <w:p w14:paraId="45278535" w14:textId="77777777" w:rsidR="00560D90" w:rsidRPr="00D308E0" w:rsidRDefault="00560D90" w:rsidP="006B770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308E0">
              <w:rPr>
                <w:rFonts w:ascii="Arial" w:hAnsi="Arial" w:cs="Arial"/>
                <w:b/>
                <w:sz w:val="17"/>
                <w:szCs w:val="17"/>
              </w:rPr>
              <w:t>University Decision affecting student enrolment status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182E2CA8" w14:textId="77777777" w:rsidR="00560D90" w:rsidRPr="00D308E0" w:rsidRDefault="00560D90" w:rsidP="00657F1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308E0">
              <w:rPr>
                <w:rFonts w:ascii="Arial" w:hAnsi="Arial" w:cs="Arial"/>
                <w:b/>
                <w:sz w:val="17"/>
                <w:szCs w:val="17"/>
              </w:rPr>
              <w:t xml:space="preserve">Applied at the level of </w:t>
            </w:r>
          </w:p>
        </w:tc>
        <w:tc>
          <w:tcPr>
            <w:tcW w:w="3105" w:type="dxa"/>
            <w:shd w:val="clear" w:color="auto" w:fill="BFBFBF" w:themeFill="background1" w:themeFillShade="BF"/>
          </w:tcPr>
          <w:p w14:paraId="3E73D9CF" w14:textId="77777777" w:rsidR="00560D90" w:rsidRPr="00D308E0" w:rsidRDefault="00560D90" w:rsidP="006B770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308E0">
              <w:rPr>
                <w:rFonts w:ascii="Arial" w:hAnsi="Arial" w:cs="Arial"/>
                <w:b/>
                <w:sz w:val="17"/>
                <w:szCs w:val="17"/>
              </w:rPr>
              <w:t>Grounds</w:t>
            </w:r>
          </w:p>
        </w:tc>
        <w:tc>
          <w:tcPr>
            <w:tcW w:w="4741" w:type="dxa"/>
            <w:shd w:val="clear" w:color="auto" w:fill="BFBFBF" w:themeFill="background1" w:themeFillShade="BF"/>
          </w:tcPr>
          <w:p w14:paraId="7D77BD8D" w14:textId="3C2CB8D3" w:rsidR="00560D90" w:rsidRPr="00D308E0" w:rsidRDefault="00560D90" w:rsidP="00DD64A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Condition(s) imposed as a result of the 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  <w:t>University Decision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75AFC4E1" w14:textId="42611A8F" w:rsidR="00560D90" w:rsidRPr="00D308E0" w:rsidRDefault="00560D90" w:rsidP="00DD64A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Condition(s) to be met to return to study </w:t>
            </w:r>
            <w:r w:rsidRPr="00D308E0">
              <w:rPr>
                <w:rFonts w:ascii="Arial" w:hAnsi="Arial" w:cs="Arial"/>
                <w:b/>
                <w:sz w:val="17"/>
                <w:szCs w:val="17"/>
              </w:rPr>
              <w:t>at the University (where relevant)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7320D2E9" w14:textId="68A13DE1" w:rsidR="00560D90" w:rsidRPr="00D308E0" w:rsidRDefault="00560D90" w:rsidP="00DD64A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Where to l</w:t>
            </w:r>
            <w:r w:rsidRPr="00D308E0">
              <w:rPr>
                <w:rFonts w:ascii="Arial" w:hAnsi="Arial" w:cs="Arial"/>
                <w:b/>
                <w:sz w:val="17"/>
                <w:szCs w:val="17"/>
              </w:rPr>
              <w:t xml:space="preserve">odge application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to return to study </w:t>
            </w:r>
            <w:r w:rsidRPr="00D308E0">
              <w:rPr>
                <w:rFonts w:ascii="Arial" w:hAnsi="Arial" w:cs="Arial"/>
                <w:b/>
                <w:sz w:val="17"/>
                <w:szCs w:val="17"/>
              </w:rPr>
              <w:t>(where relevant)</w:t>
            </w:r>
          </w:p>
        </w:tc>
      </w:tr>
      <w:tr w:rsidR="00560D90" w:rsidRPr="00D308E0" w14:paraId="19A80B5B" w14:textId="77777777" w:rsidTr="00031F52">
        <w:tc>
          <w:tcPr>
            <w:tcW w:w="2825" w:type="dxa"/>
            <w:shd w:val="clear" w:color="auto" w:fill="DBE5F1" w:themeFill="accent1" w:themeFillTint="33"/>
          </w:tcPr>
          <w:p w14:paraId="377CA24D" w14:textId="353C7ED1" w:rsidR="00560D90" w:rsidRPr="0043316E" w:rsidRDefault="00560D90" w:rsidP="000E6BA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43316E">
              <w:rPr>
                <w:rFonts w:ascii="Arial" w:hAnsi="Arial" w:cs="Arial"/>
                <w:b/>
                <w:sz w:val="17"/>
                <w:szCs w:val="17"/>
              </w:rPr>
              <w:t>Discontinuation</w:t>
            </w:r>
            <w:r w:rsidRPr="0043316E">
              <w:rPr>
                <w:rFonts w:ascii="Arial" w:hAnsi="Arial" w:cs="Arial"/>
                <w:sz w:val="17"/>
                <w:szCs w:val="17"/>
              </w:rPr>
              <w:t xml:space="preserve"> – occurs as a result of inactive enrolment</w:t>
            </w:r>
            <w:r>
              <w:rPr>
                <w:rFonts w:ascii="Arial" w:hAnsi="Arial" w:cs="Arial"/>
                <w:sz w:val="17"/>
                <w:szCs w:val="17"/>
              </w:rPr>
              <w:t xml:space="preserve"> (coursework) or approved change of status (HDR)</w:t>
            </w:r>
          </w:p>
          <w:p w14:paraId="64E740E2" w14:textId="77777777" w:rsidR="00560D90" w:rsidRDefault="00560D90" w:rsidP="00375BBC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  <w:p w14:paraId="03E74979" w14:textId="4929C0B9" w:rsidR="00560D90" w:rsidRPr="0043316E" w:rsidRDefault="00560D90" w:rsidP="00375BBC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Coursework s</w:t>
            </w:r>
            <w:r w:rsidRPr="0043316E">
              <w:rPr>
                <w:rFonts w:ascii="Arial" w:hAnsi="Arial" w:cs="Arial"/>
                <w:sz w:val="17"/>
                <w:szCs w:val="17"/>
              </w:rPr>
              <w:t>tudent does not have the automatic right to return to study and must apply for new admission and compete to gain entry either in the same course or new course</w:t>
            </w:r>
          </w:p>
          <w:p w14:paraId="5AFA4DEB" w14:textId="77777777" w:rsidR="00560D90" w:rsidRPr="00375BBC" w:rsidRDefault="00560D90" w:rsidP="00375BB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shd w:val="clear" w:color="auto" w:fill="DBE5F1" w:themeFill="accent1" w:themeFillTint="33"/>
          </w:tcPr>
          <w:p w14:paraId="4F8C1B98" w14:textId="77777777" w:rsidR="00560D90" w:rsidRPr="0043316E" w:rsidRDefault="00560D90" w:rsidP="00657F1A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3316E">
              <w:rPr>
                <w:rFonts w:ascii="Arial" w:hAnsi="Arial" w:cs="Arial"/>
                <w:b/>
                <w:sz w:val="17"/>
                <w:szCs w:val="17"/>
              </w:rPr>
              <w:t>A course</w:t>
            </w:r>
          </w:p>
        </w:tc>
        <w:tc>
          <w:tcPr>
            <w:tcW w:w="3105" w:type="dxa"/>
            <w:shd w:val="clear" w:color="auto" w:fill="DBE5F1" w:themeFill="accent1" w:themeFillTint="33"/>
          </w:tcPr>
          <w:p w14:paraId="4D0B6D49" w14:textId="61D35EE2" w:rsidR="00560D90" w:rsidRPr="00D308E0" w:rsidRDefault="00560D90" w:rsidP="00FC0D6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Coursework s</w:t>
            </w:r>
            <w:r w:rsidRPr="00D308E0">
              <w:rPr>
                <w:rFonts w:ascii="Arial" w:hAnsi="Arial" w:cs="Arial"/>
                <w:sz w:val="17"/>
                <w:szCs w:val="17"/>
              </w:rPr>
              <w:t>tudent has allowed course enrolment to lapse without approved leave</w:t>
            </w:r>
          </w:p>
        </w:tc>
        <w:tc>
          <w:tcPr>
            <w:tcW w:w="4741" w:type="dxa"/>
            <w:shd w:val="clear" w:color="auto" w:fill="DBE5F1" w:themeFill="accent1" w:themeFillTint="33"/>
          </w:tcPr>
          <w:p w14:paraId="4A6C65E8" w14:textId="21FDA988" w:rsidR="00560D90" w:rsidRPr="00D308E0" w:rsidRDefault="00560D90" w:rsidP="0024788C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>Not permitted to re-enrol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3B8E4DB2" w14:textId="52AFA7D4" w:rsidR="00560D90" w:rsidRPr="00DD64A4" w:rsidRDefault="00560D90" w:rsidP="005F15A8">
            <w:pPr>
              <w:rPr>
                <w:rFonts w:ascii="Arial" w:hAnsi="Arial" w:cs="Arial"/>
                <w:sz w:val="17"/>
                <w:szCs w:val="17"/>
              </w:rPr>
            </w:pPr>
            <w:r w:rsidRPr="00DD64A4">
              <w:rPr>
                <w:rFonts w:ascii="Arial" w:hAnsi="Arial" w:cs="Arial"/>
                <w:sz w:val="17"/>
                <w:szCs w:val="17"/>
              </w:rPr>
              <w:t xml:space="preserve">Must </w:t>
            </w:r>
            <w:r>
              <w:rPr>
                <w:rFonts w:ascii="Arial" w:hAnsi="Arial" w:cs="Arial"/>
                <w:sz w:val="17"/>
                <w:szCs w:val="17"/>
              </w:rPr>
              <w:t>re-</w:t>
            </w:r>
            <w:r w:rsidRPr="00DD64A4">
              <w:rPr>
                <w:rFonts w:ascii="Arial" w:hAnsi="Arial" w:cs="Arial"/>
                <w:sz w:val="17"/>
                <w:szCs w:val="17"/>
              </w:rPr>
              <w:t>apply for admission to the University</w:t>
            </w:r>
            <w:r>
              <w:rPr>
                <w:rFonts w:ascii="Arial" w:hAnsi="Arial" w:cs="Arial"/>
                <w:sz w:val="17"/>
                <w:szCs w:val="17"/>
              </w:rPr>
              <w:t>. T</w:t>
            </w:r>
            <w:r w:rsidRPr="00DD64A4">
              <w:rPr>
                <w:rFonts w:ascii="Arial" w:hAnsi="Arial" w:cs="Arial"/>
                <w:sz w:val="17"/>
                <w:szCs w:val="17"/>
              </w:rPr>
              <w:t>he student may opt to study in the same course or choose another course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089B8A61" w14:textId="77777777" w:rsidR="00560D90" w:rsidRDefault="00560D90" w:rsidP="006B7703">
            <w:pPr>
              <w:rPr>
                <w:rStyle w:val="Hyperlink"/>
                <w:rFonts w:ascii="Arial" w:hAnsi="Arial" w:cs="Arial"/>
                <w:sz w:val="17"/>
                <w:szCs w:val="17"/>
                <w:lang w:eastAsia="en-AU"/>
              </w:rPr>
            </w:pPr>
            <w:r w:rsidRPr="00DD64A4">
              <w:rPr>
                <w:rFonts w:ascii="Arial" w:hAnsi="Arial" w:cs="Arial"/>
                <w:sz w:val="17"/>
                <w:szCs w:val="17"/>
              </w:rPr>
              <w:t>Lodge application with Admission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DD64A4">
              <w:rPr>
                <w:rFonts w:ascii="Arial" w:hAnsi="Arial" w:cs="Arial"/>
                <w:sz w:val="17"/>
                <w:szCs w:val="17"/>
              </w:rPr>
              <w:t xml:space="preserve"> in accordance with </w:t>
            </w:r>
            <w:hyperlink r:id="rId6" w:history="1">
              <w:r w:rsidRPr="00DD64A4">
                <w:rPr>
                  <w:rStyle w:val="Hyperlink"/>
                  <w:rFonts w:ascii="Arial" w:hAnsi="Arial" w:cs="Arial"/>
                  <w:sz w:val="17"/>
                  <w:szCs w:val="17"/>
                  <w:lang w:eastAsia="en-AU"/>
                </w:rPr>
                <w:t>University Policy on Admission - Coursework (UP16/5)</w:t>
              </w:r>
            </w:hyperlink>
          </w:p>
          <w:p w14:paraId="0BE524EF" w14:textId="77777777" w:rsidR="00560D90" w:rsidRDefault="00560D90" w:rsidP="006B7703">
            <w:pPr>
              <w:rPr>
                <w:rStyle w:val="Hyperlink"/>
                <w:rFonts w:ascii="Arial" w:hAnsi="Arial" w:cs="Arial"/>
                <w:sz w:val="17"/>
                <w:szCs w:val="17"/>
                <w:lang w:eastAsia="en-AU"/>
              </w:rPr>
            </w:pPr>
          </w:p>
          <w:p w14:paraId="5D478C64" w14:textId="3798C2D4" w:rsidR="00560D90" w:rsidRPr="00DD64A4" w:rsidRDefault="00560D90" w:rsidP="006B7703">
            <w:pPr>
              <w:rPr>
                <w:rFonts w:ascii="Arial" w:hAnsi="Arial" w:cs="Arial"/>
                <w:sz w:val="17"/>
                <w:szCs w:val="17"/>
              </w:rPr>
            </w:pPr>
            <w:r w:rsidRPr="00DD64A4">
              <w:rPr>
                <w:rFonts w:ascii="Arial" w:hAnsi="Arial" w:cs="Arial"/>
                <w:sz w:val="17"/>
                <w:szCs w:val="17"/>
              </w:rPr>
              <w:t>N</w:t>
            </w:r>
            <w:r>
              <w:rPr>
                <w:rFonts w:ascii="Arial" w:hAnsi="Arial" w:cs="Arial"/>
                <w:sz w:val="17"/>
                <w:szCs w:val="17"/>
              </w:rPr>
              <w:t xml:space="preserve">B. </w:t>
            </w:r>
            <w:r>
              <w:t>N</w:t>
            </w:r>
            <w:r w:rsidRPr="00DD64A4">
              <w:rPr>
                <w:rFonts w:ascii="Arial" w:hAnsi="Arial" w:cs="Arial"/>
                <w:sz w:val="17"/>
                <w:szCs w:val="17"/>
              </w:rPr>
              <w:t xml:space="preserve">o academic barrier for readmission to the same course, but </w:t>
            </w:r>
            <w:r>
              <w:rPr>
                <w:rFonts w:ascii="Arial" w:hAnsi="Arial" w:cs="Arial"/>
                <w:sz w:val="17"/>
                <w:szCs w:val="17"/>
              </w:rPr>
              <w:t>schools</w:t>
            </w:r>
            <w:r w:rsidRPr="00DD64A4">
              <w:rPr>
                <w:rFonts w:ascii="Arial" w:hAnsi="Arial" w:cs="Arial"/>
                <w:sz w:val="17"/>
                <w:szCs w:val="17"/>
              </w:rPr>
              <w:t xml:space="preserve"> may require an explanation regarding why the student failed to </w:t>
            </w:r>
            <w:r>
              <w:rPr>
                <w:rFonts w:ascii="Arial" w:hAnsi="Arial" w:cs="Arial"/>
                <w:sz w:val="17"/>
                <w:szCs w:val="17"/>
              </w:rPr>
              <w:t>maintain</w:t>
            </w:r>
            <w:r w:rsidRPr="00DD64A4">
              <w:rPr>
                <w:rFonts w:ascii="Arial" w:hAnsi="Arial" w:cs="Arial"/>
                <w:sz w:val="17"/>
                <w:szCs w:val="17"/>
              </w:rPr>
              <w:t xml:space="preserve"> their enrolment</w:t>
            </w:r>
          </w:p>
        </w:tc>
      </w:tr>
      <w:tr w:rsidR="00560D90" w:rsidRPr="00D308E0" w14:paraId="1DBC5963" w14:textId="77777777" w:rsidTr="00031F52">
        <w:trPr>
          <w:trHeight w:val="327"/>
        </w:trPr>
        <w:tc>
          <w:tcPr>
            <w:tcW w:w="2825" w:type="dxa"/>
            <w:vMerge w:val="restart"/>
          </w:tcPr>
          <w:p w14:paraId="31D49DCC" w14:textId="77777777" w:rsidR="00560D90" w:rsidRPr="0043316E" w:rsidRDefault="00560D90" w:rsidP="00D4499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43316E">
              <w:rPr>
                <w:rFonts w:ascii="Arial" w:hAnsi="Arial" w:cs="Arial"/>
                <w:b/>
                <w:sz w:val="17"/>
                <w:szCs w:val="17"/>
              </w:rPr>
              <w:t>Suspension</w:t>
            </w:r>
            <w:r w:rsidRPr="0043316E">
              <w:rPr>
                <w:rFonts w:ascii="Arial" w:hAnsi="Arial" w:cs="Arial"/>
                <w:sz w:val="17"/>
                <w:szCs w:val="17"/>
              </w:rPr>
              <w:t xml:space="preserve"> – course enrolment is not cancelled.</w:t>
            </w:r>
          </w:p>
          <w:p w14:paraId="2314D6F4" w14:textId="77777777" w:rsidR="00560D90" w:rsidRPr="0043316E" w:rsidRDefault="00560D90" w:rsidP="00D4499A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  <w:p w14:paraId="4992AF57" w14:textId="76F4A227" w:rsidR="00560D90" w:rsidRPr="00375BBC" w:rsidRDefault="00560D90" w:rsidP="00DD64A4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  <w:r w:rsidRPr="0043316E">
              <w:rPr>
                <w:rFonts w:ascii="Arial" w:hAnsi="Arial" w:cs="Arial"/>
                <w:sz w:val="17"/>
                <w:szCs w:val="17"/>
              </w:rPr>
              <w:t>Student has the automatic right of return to study under the same conditions unless an encumbrance prevents them from doing</w:t>
            </w:r>
            <w:r w:rsidRPr="00375BBC">
              <w:rPr>
                <w:rFonts w:ascii="Arial" w:hAnsi="Arial" w:cs="Arial"/>
                <w:sz w:val="17"/>
                <w:szCs w:val="17"/>
              </w:rPr>
              <w:t xml:space="preserve"> so.</w:t>
            </w:r>
          </w:p>
        </w:tc>
        <w:tc>
          <w:tcPr>
            <w:tcW w:w="1095" w:type="dxa"/>
            <w:vMerge w:val="restart"/>
          </w:tcPr>
          <w:p w14:paraId="1B5D666A" w14:textId="68291BD5" w:rsidR="00560D90" w:rsidRPr="0043316E" w:rsidRDefault="00560D90" w:rsidP="00AC0EE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3316E">
              <w:rPr>
                <w:rFonts w:ascii="Arial" w:hAnsi="Arial" w:cs="Arial"/>
                <w:b/>
                <w:sz w:val="17"/>
                <w:szCs w:val="17"/>
              </w:rPr>
              <w:t>A course / A course and associated courses</w:t>
            </w:r>
          </w:p>
        </w:tc>
        <w:tc>
          <w:tcPr>
            <w:tcW w:w="3105" w:type="dxa"/>
          </w:tcPr>
          <w:p w14:paraId="692EA0C2" w14:textId="77777777" w:rsidR="00560D90" w:rsidRPr="00D308E0" w:rsidRDefault="00560D90" w:rsidP="000E6BA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 xml:space="preserve">Academic Progress </w:t>
            </w:r>
          </w:p>
          <w:p w14:paraId="3CDA31C8" w14:textId="77777777" w:rsidR="00560D90" w:rsidRPr="00D308E0" w:rsidRDefault="00560D90" w:rsidP="00375BBC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41" w:type="dxa"/>
          </w:tcPr>
          <w:p w14:paraId="19B49070" w14:textId="17948140" w:rsidR="00560D90" w:rsidRPr="00D308E0" w:rsidRDefault="00560D90" w:rsidP="00F53737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 xml:space="preserve">Suspended for </w:t>
            </w:r>
            <w:r w:rsidR="0023560E">
              <w:rPr>
                <w:rFonts w:ascii="Arial" w:hAnsi="Arial" w:cs="Arial"/>
                <w:sz w:val="17"/>
                <w:szCs w:val="17"/>
              </w:rPr>
              <w:t>6</w:t>
            </w:r>
            <w:r w:rsidR="0023560E" w:rsidRPr="00D308E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308E0">
              <w:rPr>
                <w:rFonts w:ascii="Arial" w:hAnsi="Arial" w:cs="Arial"/>
                <w:sz w:val="17"/>
                <w:szCs w:val="17"/>
              </w:rPr>
              <w:t>months</w:t>
            </w:r>
          </w:p>
        </w:tc>
        <w:tc>
          <w:tcPr>
            <w:tcW w:w="5245" w:type="dxa"/>
          </w:tcPr>
          <w:p w14:paraId="3F15D6CE" w14:textId="2827CFD4" w:rsidR="00560D90" w:rsidRPr="00375BBC" w:rsidRDefault="0023560E" w:rsidP="00375BB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560D90" w:rsidRPr="00375BBC">
              <w:rPr>
                <w:rFonts w:ascii="Arial" w:hAnsi="Arial" w:cs="Arial"/>
                <w:sz w:val="17"/>
                <w:szCs w:val="17"/>
              </w:rPr>
              <w:t xml:space="preserve">tudents re-enrol into the same course </w:t>
            </w:r>
          </w:p>
          <w:p w14:paraId="79588A3E" w14:textId="76F1C036" w:rsidR="0023560E" w:rsidRDefault="0023560E" w:rsidP="00375BB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Student vias holders must submit an </w:t>
            </w:r>
            <w:hyperlink r:id="rId7" w:history="1">
              <w:r w:rsidRPr="0023560E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Application to Extend Course and </w:t>
              </w:r>
              <w:proofErr w:type="spellStart"/>
              <w:r w:rsidRPr="0023560E">
                <w:rPr>
                  <w:rStyle w:val="Hyperlink"/>
                  <w:rFonts w:ascii="Arial" w:hAnsi="Arial" w:cs="Arial"/>
                  <w:sz w:val="17"/>
                  <w:szCs w:val="17"/>
                </w:rPr>
                <w:t>CoE</w:t>
              </w:r>
              <w:proofErr w:type="spellEnd"/>
            </w:hyperlink>
          </w:p>
          <w:p w14:paraId="43DE6691" w14:textId="77777777" w:rsidR="00560D90" w:rsidRPr="00375BBC" w:rsidRDefault="00560D90" w:rsidP="00C54A76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3" w:type="dxa"/>
          </w:tcPr>
          <w:p w14:paraId="46119853" w14:textId="55CFA9F2" w:rsidR="00560D90" w:rsidRPr="00D308E0" w:rsidRDefault="0023560E" w:rsidP="006B770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Lodge application via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askUWA</w:t>
            </w:r>
            <w:proofErr w:type="spellEnd"/>
          </w:p>
        </w:tc>
      </w:tr>
      <w:tr w:rsidR="00560D90" w:rsidRPr="00D308E0" w14:paraId="0D2D1A7E" w14:textId="77777777" w:rsidTr="00031F52">
        <w:trPr>
          <w:trHeight w:val="977"/>
        </w:trPr>
        <w:tc>
          <w:tcPr>
            <w:tcW w:w="2825" w:type="dxa"/>
            <w:vMerge/>
          </w:tcPr>
          <w:p w14:paraId="408B58BF" w14:textId="77777777" w:rsidR="00560D90" w:rsidRPr="00D308E0" w:rsidRDefault="00560D90" w:rsidP="00D4499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</w:tcPr>
          <w:p w14:paraId="3CD86371" w14:textId="77777777" w:rsidR="00560D90" w:rsidRPr="00D308E0" w:rsidRDefault="00560D90" w:rsidP="006B77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</w:tcPr>
          <w:p w14:paraId="546BA78A" w14:textId="5F12C6AF" w:rsidR="00560D90" w:rsidRPr="00D308E0" w:rsidRDefault="00560D90" w:rsidP="00375BB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7"/>
                <w:szCs w:val="17"/>
              </w:rPr>
            </w:pPr>
            <w:r w:rsidRPr="00375BBC">
              <w:rPr>
                <w:rFonts w:ascii="Arial" w:hAnsi="Arial" w:cs="Arial"/>
                <w:sz w:val="17"/>
                <w:szCs w:val="17"/>
              </w:rPr>
              <w:t xml:space="preserve">Misconduct </w:t>
            </w:r>
          </w:p>
        </w:tc>
        <w:tc>
          <w:tcPr>
            <w:tcW w:w="4741" w:type="dxa"/>
          </w:tcPr>
          <w:p w14:paraId="66D90BC6" w14:textId="02BBF957" w:rsidR="00560D90" w:rsidRDefault="00560D90" w:rsidP="00C54A76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>Exclusion from enrolment in all</w:t>
            </w:r>
            <w:r w:rsidRPr="00C54A76">
              <w:rPr>
                <w:rFonts w:ascii="Arial" w:hAnsi="Arial" w:cs="Arial"/>
                <w:b/>
                <w:sz w:val="17"/>
                <w:szCs w:val="17"/>
              </w:rPr>
              <w:t xml:space="preserve"> units</w:t>
            </w:r>
            <w:r w:rsidRPr="00D308E0">
              <w:rPr>
                <w:rFonts w:ascii="Arial" w:hAnsi="Arial" w:cs="Arial"/>
                <w:sz w:val="17"/>
                <w:szCs w:val="17"/>
              </w:rPr>
              <w:t xml:space="preserve"> offered by the University for a period of up to one academic year</w:t>
            </w:r>
            <w:r>
              <w:rPr>
                <w:rFonts w:ascii="Arial" w:hAnsi="Arial" w:cs="Arial"/>
                <w:sz w:val="17"/>
                <w:szCs w:val="17"/>
              </w:rPr>
              <w:t xml:space="preserve"> (3.1(f) of the</w:t>
            </w:r>
            <w:hyperlink r:id="rId8" w:history="1">
              <w:r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).</w:t>
            </w:r>
          </w:p>
          <w:p w14:paraId="41072988" w14:textId="4909AF68" w:rsidR="00560D90" w:rsidRPr="00D308E0" w:rsidRDefault="00560D90" w:rsidP="00C54A7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45" w:type="dxa"/>
          </w:tcPr>
          <w:p w14:paraId="6A36466E" w14:textId="50D40972" w:rsidR="00560D90" w:rsidRDefault="00560D90" w:rsidP="00375BB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Student has the automatic right of return to study under the same conditions unless an encumbrance prevents them from doing so, e.g. completion of an online course</w:t>
            </w:r>
          </w:p>
          <w:p w14:paraId="4AD11C6C" w14:textId="77777777" w:rsidR="00560D90" w:rsidRPr="00AA1A60" w:rsidRDefault="00560D90" w:rsidP="00375BB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3" w:type="dxa"/>
          </w:tcPr>
          <w:p w14:paraId="533C4927" w14:textId="70A954C5" w:rsidR="00560D90" w:rsidRPr="00D308E0" w:rsidRDefault="00560D90" w:rsidP="0079600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No application required. </w:t>
            </w:r>
          </w:p>
        </w:tc>
      </w:tr>
      <w:tr w:rsidR="00560D90" w:rsidRPr="00D308E0" w14:paraId="611BA380" w14:textId="77777777" w:rsidTr="00031F52">
        <w:trPr>
          <w:trHeight w:val="463"/>
        </w:trPr>
        <w:tc>
          <w:tcPr>
            <w:tcW w:w="2825" w:type="dxa"/>
            <w:vMerge/>
          </w:tcPr>
          <w:p w14:paraId="03B0F106" w14:textId="77777777" w:rsidR="00560D90" w:rsidRPr="00D308E0" w:rsidRDefault="00560D90" w:rsidP="00FA7E4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 w:val="restart"/>
            <w:shd w:val="clear" w:color="auto" w:fill="auto"/>
          </w:tcPr>
          <w:p w14:paraId="361B30C6" w14:textId="78D912CA" w:rsidR="00560D90" w:rsidRPr="0043316E" w:rsidRDefault="00560D90" w:rsidP="00FA7E46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3316E">
              <w:rPr>
                <w:rFonts w:ascii="Arial" w:hAnsi="Arial" w:cs="Arial"/>
                <w:b/>
                <w:sz w:val="17"/>
                <w:szCs w:val="17"/>
              </w:rPr>
              <w:t>The Institution</w:t>
            </w:r>
          </w:p>
        </w:tc>
        <w:tc>
          <w:tcPr>
            <w:tcW w:w="3105" w:type="dxa"/>
            <w:shd w:val="clear" w:color="auto" w:fill="auto"/>
          </w:tcPr>
          <w:p w14:paraId="4C2ADB3E" w14:textId="438BD298" w:rsidR="00560D90" w:rsidRDefault="00560D90" w:rsidP="00FA7E4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Misconduct</w:t>
            </w:r>
          </w:p>
        </w:tc>
        <w:tc>
          <w:tcPr>
            <w:tcW w:w="4741" w:type="dxa"/>
            <w:shd w:val="clear" w:color="auto" w:fill="auto"/>
          </w:tcPr>
          <w:p w14:paraId="308D7D92" w14:textId="45285EE4" w:rsidR="00560D90" w:rsidRDefault="00560D90" w:rsidP="00FB3437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>Exclusion from enrolment in all</w:t>
            </w:r>
            <w:r w:rsidRPr="00C54A76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unit and courses</w:t>
            </w:r>
            <w:r w:rsidRPr="00D308E0">
              <w:rPr>
                <w:rFonts w:ascii="Arial" w:hAnsi="Arial" w:cs="Arial"/>
                <w:sz w:val="17"/>
                <w:szCs w:val="17"/>
              </w:rPr>
              <w:t xml:space="preserve"> offered by the University for a period of up to one academic year</w:t>
            </w:r>
            <w:r>
              <w:rPr>
                <w:rFonts w:ascii="Arial" w:hAnsi="Arial" w:cs="Arial"/>
                <w:sz w:val="17"/>
                <w:szCs w:val="17"/>
              </w:rPr>
              <w:t xml:space="preserve"> (3.1(f) of the </w:t>
            </w:r>
            <w:hyperlink r:id="rId9" w:history="1">
              <w:r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).</w:t>
            </w:r>
          </w:p>
          <w:p w14:paraId="2329C606" w14:textId="77777777" w:rsidR="00560D90" w:rsidRPr="00C54A76" w:rsidRDefault="00560D90" w:rsidP="00FA7E46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 w14:paraId="3A9728E2" w14:textId="1FEC43A4" w:rsidR="00560D90" w:rsidRDefault="00560D90" w:rsidP="00391CC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Student has the automatic right of return to study under the same conditions unless an encumbrance prevents them from doing so, e.g. completion of an online course</w:t>
            </w:r>
          </w:p>
          <w:p w14:paraId="149E8842" w14:textId="77777777" w:rsidR="00560D90" w:rsidRPr="00DC5BC9" w:rsidRDefault="00560D90" w:rsidP="00FA7E46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14:paraId="20DE08AC" w14:textId="01875322" w:rsidR="00560D90" w:rsidRDefault="00560D90" w:rsidP="00DD64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 application required.</w:t>
            </w:r>
          </w:p>
        </w:tc>
      </w:tr>
      <w:tr w:rsidR="00560D90" w:rsidRPr="00D308E0" w14:paraId="405042C1" w14:textId="77777777" w:rsidTr="00031F52">
        <w:trPr>
          <w:trHeight w:val="463"/>
        </w:trPr>
        <w:tc>
          <w:tcPr>
            <w:tcW w:w="2825" w:type="dxa"/>
            <w:vMerge/>
          </w:tcPr>
          <w:p w14:paraId="5B4220C0" w14:textId="0317A689" w:rsidR="00560D90" w:rsidRPr="00D308E0" w:rsidRDefault="00560D90" w:rsidP="00FA7E4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14:paraId="12EF4463" w14:textId="60DC2735" w:rsidR="00560D90" w:rsidRPr="00D308E0" w:rsidRDefault="00560D90" w:rsidP="00FA7E4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shd w:val="clear" w:color="auto" w:fill="auto"/>
          </w:tcPr>
          <w:p w14:paraId="001F4D41" w14:textId="77777777" w:rsidR="00560D90" w:rsidRPr="00375BBC" w:rsidRDefault="00560D90" w:rsidP="00FA7E4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Not fit to study</w:t>
            </w:r>
          </w:p>
        </w:tc>
        <w:tc>
          <w:tcPr>
            <w:tcW w:w="4741" w:type="dxa"/>
            <w:shd w:val="clear" w:color="auto" w:fill="auto"/>
          </w:tcPr>
          <w:p w14:paraId="7C54395F" w14:textId="0B663E72" w:rsidR="00560D90" w:rsidRDefault="00560D90" w:rsidP="00FA7E4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Suspended for a specified time </w:t>
            </w:r>
          </w:p>
          <w:p w14:paraId="4BE36E6F" w14:textId="4E0845B7" w:rsidR="00560D90" w:rsidRPr="00375BBC" w:rsidRDefault="00560D90" w:rsidP="00FA7E4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45" w:type="dxa"/>
            <w:shd w:val="clear" w:color="auto" w:fill="auto"/>
          </w:tcPr>
          <w:p w14:paraId="7C7A85DE" w14:textId="70E2C6B7" w:rsidR="00560D90" w:rsidRDefault="00560D90" w:rsidP="00FA7E4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The University must be satisfied that the student is fit for study, e.g. clause  6.2.1 of the </w:t>
            </w:r>
            <w:hyperlink r:id="rId10" w:history="1">
              <w:r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>University Policy on: Mental Healt</w:t>
              </w:r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h UP10/8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hyperlink r:id="rId11" w:history="1"/>
          </w:p>
          <w:p w14:paraId="6F107E86" w14:textId="77777777" w:rsidR="00560D90" w:rsidRPr="00D308E0" w:rsidRDefault="00560D90" w:rsidP="00FA7E4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3" w:type="dxa"/>
            <w:shd w:val="clear" w:color="auto" w:fill="auto"/>
          </w:tcPr>
          <w:p w14:paraId="68C0EE3A" w14:textId="77777777" w:rsidR="00560D90" w:rsidRDefault="00560D90" w:rsidP="00DD64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Associate Director, Service and Engagement (Student Services)</w:t>
            </w:r>
          </w:p>
          <w:p w14:paraId="6B6CA5B1" w14:textId="77777777" w:rsidR="00560D90" w:rsidRDefault="00560D90" w:rsidP="00DD64A4">
            <w:pPr>
              <w:rPr>
                <w:rFonts w:ascii="Arial" w:hAnsi="Arial" w:cs="Arial"/>
                <w:sz w:val="17"/>
                <w:szCs w:val="17"/>
              </w:rPr>
            </w:pPr>
          </w:p>
          <w:p w14:paraId="66D2DFFA" w14:textId="7966C7BA" w:rsidR="00560D90" w:rsidRPr="00D308E0" w:rsidRDefault="00560D90" w:rsidP="00F8769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NB. Student must demonstrate inherent requirements to study.</w:t>
            </w:r>
          </w:p>
        </w:tc>
      </w:tr>
      <w:tr w:rsidR="00560D90" w:rsidRPr="00D308E0" w14:paraId="4974AB3B" w14:textId="77777777" w:rsidTr="00031F52">
        <w:trPr>
          <w:trHeight w:val="463"/>
        </w:trPr>
        <w:tc>
          <w:tcPr>
            <w:tcW w:w="2825" w:type="dxa"/>
            <w:vMerge/>
          </w:tcPr>
          <w:p w14:paraId="18715766" w14:textId="77777777" w:rsidR="00560D90" w:rsidRPr="00D308E0" w:rsidRDefault="00560D90" w:rsidP="00FA7E4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14:paraId="4F32A28B" w14:textId="77777777" w:rsidR="00560D90" w:rsidRPr="00D308E0" w:rsidRDefault="00560D90" w:rsidP="00FA7E4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shd w:val="clear" w:color="auto" w:fill="auto"/>
          </w:tcPr>
          <w:p w14:paraId="64929B11" w14:textId="5E157B1E" w:rsidR="00560D90" w:rsidRDefault="00560D90" w:rsidP="00FA7E4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HDR student is approved for period of voluntary suspension (approved leave)</w:t>
            </w:r>
          </w:p>
        </w:tc>
        <w:tc>
          <w:tcPr>
            <w:tcW w:w="4741" w:type="dxa"/>
            <w:shd w:val="clear" w:color="auto" w:fill="auto"/>
          </w:tcPr>
          <w:p w14:paraId="6753BC95" w14:textId="6685732D" w:rsidR="00560D90" w:rsidRDefault="00560D90" w:rsidP="00FD4D1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Usually no conditions but may be conditions specific to circumstances</w:t>
            </w:r>
          </w:p>
        </w:tc>
        <w:tc>
          <w:tcPr>
            <w:tcW w:w="5245" w:type="dxa"/>
            <w:shd w:val="clear" w:color="auto" w:fill="auto"/>
          </w:tcPr>
          <w:p w14:paraId="12767F11" w14:textId="08209690" w:rsidR="00560D90" w:rsidRDefault="00560D90" w:rsidP="00FA7E4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Any conditions that have been set must be met</w:t>
            </w:r>
          </w:p>
        </w:tc>
        <w:tc>
          <w:tcPr>
            <w:tcW w:w="5103" w:type="dxa"/>
            <w:shd w:val="clear" w:color="auto" w:fill="auto"/>
          </w:tcPr>
          <w:p w14:paraId="66F567F8" w14:textId="28A067E1" w:rsidR="00560D90" w:rsidRDefault="00560D90" w:rsidP="00DD64A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Graduate Research School</w:t>
            </w:r>
          </w:p>
        </w:tc>
      </w:tr>
      <w:tr w:rsidR="00560D90" w:rsidRPr="00D308E0" w14:paraId="77D9DF38" w14:textId="77777777" w:rsidTr="00031F52">
        <w:trPr>
          <w:trHeight w:val="585"/>
        </w:trPr>
        <w:tc>
          <w:tcPr>
            <w:tcW w:w="2825" w:type="dxa"/>
            <w:vMerge w:val="restart"/>
            <w:shd w:val="clear" w:color="auto" w:fill="DBE5F1" w:themeFill="accent1" w:themeFillTint="33"/>
          </w:tcPr>
          <w:p w14:paraId="3B7F80A1" w14:textId="57B11893" w:rsidR="00560D90" w:rsidRDefault="00560D90" w:rsidP="00D653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43316E">
              <w:rPr>
                <w:rFonts w:ascii="Arial" w:hAnsi="Arial" w:cs="Arial"/>
                <w:b/>
                <w:sz w:val="17"/>
                <w:szCs w:val="17"/>
              </w:rPr>
              <w:t>Exclusion</w:t>
            </w:r>
            <w:r w:rsidRPr="00D308E0">
              <w:rPr>
                <w:rFonts w:ascii="Arial" w:hAnsi="Arial" w:cs="Arial"/>
                <w:sz w:val="17"/>
                <w:szCs w:val="17"/>
              </w:rPr>
              <w:t xml:space="preserve"> –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2B7543">
              <w:rPr>
                <w:rFonts w:ascii="Arial" w:hAnsi="Arial" w:cs="Arial"/>
                <w:sz w:val="17"/>
                <w:szCs w:val="17"/>
              </w:rPr>
              <w:t>course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43316E">
              <w:rPr>
                <w:rFonts w:ascii="Arial" w:hAnsi="Arial" w:cs="Arial"/>
                <w:sz w:val="17"/>
                <w:szCs w:val="17"/>
              </w:rPr>
              <w:t>admission and/or enrolment is terminated or re-enrolment denied.</w:t>
            </w:r>
          </w:p>
          <w:p w14:paraId="25768558" w14:textId="77777777" w:rsidR="00560D90" w:rsidRPr="0043316E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  <w:p w14:paraId="4EE6472D" w14:textId="77777777" w:rsidR="00560D90" w:rsidRPr="0043316E" w:rsidRDefault="00560D90" w:rsidP="00D653F1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  <w:r w:rsidRPr="0043316E">
              <w:rPr>
                <w:rFonts w:ascii="Arial" w:hAnsi="Arial" w:cs="Arial"/>
                <w:sz w:val="17"/>
                <w:szCs w:val="17"/>
              </w:rPr>
              <w:t>Student does not have the automatic right to return to study and must apply for admission and compete to gain entry either in the same course or new course.</w:t>
            </w:r>
          </w:p>
          <w:p w14:paraId="73456AC0" w14:textId="77777777" w:rsidR="00560D90" w:rsidRPr="0043316E" w:rsidRDefault="00560D90" w:rsidP="00D653F1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  <w:p w14:paraId="491D4D0C" w14:textId="4F2CE8D9" w:rsidR="00560D90" w:rsidRPr="0043316E" w:rsidRDefault="00560D90" w:rsidP="00D653F1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  <w:r w:rsidRPr="0043316E">
              <w:rPr>
                <w:rFonts w:ascii="Arial" w:hAnsi="Arial" w:cs="Arial"/>
                <w:sz w:val="17"/>
                <w:szCs w:val="17"/>
              </w:rPr>
              <w:t xml:space="preserve">An encumbrance may affect their admission or </w:t>
            </w:r>
            <w:r>
              <w:rPr>
                <w:rFonts w:ascii="Arial" w:hAnsi="Arial" w:cs="Arial"/>
                <w:sz w:val="17"/>
                <w:szCs w:val="17"/>
              </w:rPr>
              <w:t>re/</w:t>
            </w:r>
            <w:r w:rsidRPr="0043316E">
              <w:rPr>
                <w:rFonts w:ascii="Arial" w:hAnsi="Arial" w:cs="Arial"/>
                <w:sz w:val="17"/>
                <w:szCs w:val="17"/>
              </w:rPr>
              <w:t>enrolment.</w:t>
            </w:r>
          </w:p>
          <w:p w14:paraId="3902138B" w14:textId="77777777" w:rsidR="00560D90" w:rsidRPr="0043316E" w:rsidRDefault="00560D90" w:rsidP="00D653F1">
            <w:pPr>
              <w:pStyle w:val="ListParagraph"/>
              <w:ind w:left="3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95" w:type="dxa"/>
            <w:shd w:val="clear" w:color="auto" w:fill="DBE5F1" w:themeFill="accent1" w:themeFillTint="33"/>
          </w:tcPr>
          <w:p w14:paraId="1FB49DBB" w14:textId="37B4BE32" w:rsidR="00560D90" w:rsidRPr="0043316E" w:rsidRDefault="00560D90" w:rsidP="00D653F1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A unit</w:t>
            </w:r>
          </w:p>
        </w:tc>
        <w:tc>
          <w:tcPr>
            <w:tcW w:w="3105" w:type="dxa"/>
            <w:shd w:val="clear" w:color="auto" w:fill="DBE5F1" w:themeFill="accent1" w:themeFillTint="33"/>
          </w:tcPr>
          <w:p w14:paraId="6F13C76D" w14:textId="06E1114C" w:rsidR="00560D90" w:rsidRPr="00E83E08" w:rsidRDefault="00560D90" w:rsidP="00E83E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Academic Progress: Core Unit Exclusion  - </w:t>
            </w:r>
            <w:r w:rsidRPr="00D653F1">
              <w:rPr>
                <w:rFonts w:ascii="Arial" w:hAnsi="Arial" w:cs="Arial"/>
                <w:sz w:val="17"/>
                <w:szCs w:val="17"/>
              </w:rPr>
              <w:t xml:space="preserve">a student who fails a unit twice (see 4.1 of the </w:t>
            </w:r>
            <w:hyperlink r:id="rId12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University Policy on A</w:t>
              </w:r>
              <w:r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>cademic Progress</w:t>
              </w:r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UP11/26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)</w:t>
            </w:r>
            <w:r w:rsidRPr="00D653F1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4741" w:type="dxa"/>
            <w:shd w:val="clear" w:color="auto" w:fill="DBE5F1" w:themeFill="accent1" w:themeFillTint="33"/>
          </w:tcPr>
          <w:p w14:paraId="64D69F26" w14:textId="5C932175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10005A">
              <w:rPr>
                <w:rFonts w:ascii="Arial" w:hAnsi="Arial" w:cs="Arial"/>
                <w:sz w:val="17"/>
                <w:szCs w:val="17"/>
              </w:rPr>
              <w:t>Not permitted to enrol in a specific unit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13776737" w14:textId="19804642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Relevant school or board must approve enrolment in recognition of significant mitigating circumstances (3.2 of </w:t>
            </w:r>
            <w:hyperlink r:id="rId13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University Policy on A</w:t>
              </w:r>
              <w:r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>cademic Progress</w:t>
              </w:r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UP11/26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  <w:p w14:paraId="18A46D11" w14:textId="77777777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3" w:type="dxa"/>
            <w:shd w:val="clear" w:color="auto" w:fill="DBE5F1" w:themeFill="accent1" w:themeFillTint="33"/>
          </w:tcPr>
          <w:p w14:paraId="76F8ED1B" w14:textId="25D8DD7C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As per </w:t>
            </w:r>
            <w:hyperlink r:id="rId14" w:history="1"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>University Policy on A</w:t>
              </w:r>
              <w:r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>cademic Progress</w:t>
              </w:r>
              <w:r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UP11/26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</w:tr>
      <w:tr w:rsidR="00560D90" w:rsidRPr="00D308E0" w14:paraId="13241E18" w14:textId="77777777" w:rsidTr="00031F52">
        <w:trPr>
          <w:trHeight w:val="585"/>
        </w:trPr>
        <w:tc>
          <w:tcPr>
            <w:tcW w:w="2825" w:type="dxa"/>
            <w:vMerge/>
            <w:shd w:val="clear" w:color="auto" w:fill="DBE5F1" w:themeFill="accent1" w:themeFillTint="33"/>
          </w:tcPr>
          <w:p w14:paraId="23C94CEC" w14:textId="64A54AA6" w:rsidR="00560D90" w:rsidRPr="00D308E0" w:rsidRDefault="00560D90" w:rsidP="00D653F1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 w:val="restart"/>
            <w:shd w:val="clear" w:color="auto" w:fill="DBE5F1" w:themeFill="accent1" w:themeFillTint="33"/>
          </w:tcPr>
          <w:p w14:paraId="7C98AE1B" w14:textId="66B0F890" w:rsidR="00560D90" w:rsidRPr="003B50B7" w:rsidRDefault="00560D90" w:rsidP="00D653F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3B50B7">
              <w:rPr>
                <w:rFonts w:ascii="Arial" w:hAnsi="Arial" w:cs="Arial"/>
                <w:b/>
                <w:sz w:val="17"/>
                <w:szCs w:val="17"/>
              </w:rPr>
              <w:t>A course / A course and associated courses</w:t>
            </w:r>
          </w:p>
        </w:tc>
        <w:tc>
          <w:tcPr>
            <w:tcW w:w="3105" w:type="dxa"/>
            <w:shd w:val="clear" w:color="auto" w:fill="DBE5F1" w:themeFill="accent1" w:themeFillTint="33"/>
          </w:tcPr>
          <w:p w14:paraId="31FFBB5B" w14:textId="544E4BB2" w:rsidR="00560D90" w:rsidRPr="003B50B7" w:rsidDel="00CE63CD" w:rsidRDefault="00560D90" w:rsidP="00D653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3B50B7">
              <w:rPr>
                <w:rFonts w:ascii="Arial" w:hAnsi="Arial" w:cs="Arial"/>
                <w:sz w:val="17"/>
                <w:szCs w:val="17"/>
              </w:rPr>
              <w:t>Academic Progress</w:t>
            </w:r>
          </w:p>
        </w:tc>
        <w:tc>
          <w:tcPr>
            <w:tcW w:w="4741" w:type="dxa"/>
            <w:shd w:val="clear" w:color="auto" w:fill="DBE5F1" w:themeFill="accent1" w:themeFillTint="33"/>
          </w:tcPr>
          <w:p w14:paraId="3AC362FB" w14:textId="3BC81AE4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Not permitted to re-enrol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135C95B0" w14:textId="77777777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 xml:space="preserve">Student must apply for admission to the University only after 12 months has elapsed since the assignment of the excluded status, with the exception of BPhil (Hons) students. </w:t>
            </w:r>
          </w:p>
          <w:p w14:paraId="61E73C81" w14:textId="77777777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  <w:p w14:paraId="7F090A35" w14:textId="77777777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 xml:space="preserve">The student may opt to study in the same course or choose another course. </w:t>
            </w:r>
          </w:p>
          <w:p w14:paraId="18D9A24B" w14:textId="77777777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  <w:p w14:paraId="7033E7A4" w14:textId="52BF4DB0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 xml:space="preserve">Certain courses (e.g. Faculty of Health and Medical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D308E0">
              <w:rPr>
                <w:rFonts w:ascii="Arial" w:hAnsi="Arial" w:cs="Arial"/>
                <w:sz w:val="17"/>
                <w:szCs w:val="17"/>
              </w:rPr>
              <w:t>ciences courses) are exempted from allowing students to be readmitted into the same course.</w:t>
            </w:r>
          </w:p>
          <w:p w14:paraId="454B299F" w14:textId="77777777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3" w:type="dxa"/>
            <w:shd w:val="clear" w:color="auto" w:fill="DBE5F1" w:themeFill="accent1" w:themeFillTint="33"/>
          </w:tcPr>
          <w:p w14:paraId="124A7AF6" w14:textId="533E5477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>Lodge application with Admission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D308E0">
              <w:rPr>
                <w:rFonts w:ascii="Arial" w:hAnsi="Arial" w:cs="Arial"/>
                <w:sz w:val="17"/>
                <w:szCs w:val="17"/>
              </w:rPr>
              <w:t xml:space="preserve"> in accordance with </w:t>
            </w:r>
            <w:hyperlink r:id="rId15" w:history="1">
              <w:r w:rsidRPr="00D308E0">
                <w:rPr>
                  <w:rStyle w:val="Hyperlink"/>
                  <w:rFonts w:ascii="Arial" w:hAnsi="Arial" w:cs="Arial"/>
                  <w:sz w:val="17"/>
                  <w:szCs w:val="17"/>
                  <w:lang w:eastAsia="en-AU"/>
                </w:rPr>
                <w:t>University Policy on Admission - Coursework (UP16/5)</w:t>
              </w:r>
            </w:hyperlink>
          </w:p>
          <w:p w14:paraId="4E5BF6EC" w14:textId="77777777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>(competitive process)</w:t>
            </w:r>
          </w:p>
          <w:p w14:paraId="19EF885D" w14:textId="77777777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HDR students lodge application in</w:t>
            </w:r>
            <w:r w:rsidRPr="00901D09">
              <w:rPr>
                <w:rFonts w:ascii="Arial" w:hAnsi="Arial" w:cs="Arial"/>
                <w:sz w:val="17"/>
                <w:szCs w:val="17"/>
              </w:rPr>
              <w:t xml:space="preserve"> accordance with the</w:t>
            </w:r>
            <w:r>
              <w:rPr>
                <w:rFonts w:ascii="Arial" w:hAnsi="Arial" w:cs="Arial"/>
                <w:sz w:val="17"/>
                <w:szCs w:val="17"/>
              </w:rPr>
              <w:t xml:space="preserve"> standard application process for the course.</w:t>
            </w:r>
          </w:p>
          <w:p w14:paraId="13EBA0F7" w14:textId="77777777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  <w:p w14:paraId="518AD482" w14:textId="77777777" w:rsidR="00560D90" w:rsidRPr="00D308E0" w:rsidRDefault="00560D90" w:rsidP="00F87694">
            <w:pPr>
              <w:rPr>
                <w:rFonts w:ascii="Arial" w:hAnsi="Arial" w:cs="Arial"/>
                <w:sz w:val="17"/>
                <w:szCs w:val="17"/>
                <w:lang w:eastAsia="en-AU"/>
              </w:rPr>
            </w:pPr>
            <w:r w:rsidRPr="00D308E0">
              <w:rPr>
                <w:rFonts w:ascii="Arial" w:hAnsi="Arial" w:cs="Arial"/>
                <w:sz w:val="17"/>
                <w:szCs w:val="17"/>
                <w:lang w:eastAsia="en-AU"/>
              </w:rPr>
              <w:t>If readmission is available, students must submit a Personal statement which must outline:</w:t>
            </w:r>
          </w:p>
          <w:p w14:paraId="56076295" w14:textId="77777777" w:rsidR="00560D90" w:rsidRPr="00D308E0" w:rsidRDefault="00560D90" w:rsidP="00F8769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  <w:lang w:eastAsia="en-AU"/>
              </w:rPr>
            </w:pPr>
            <w:r w:rsidRPr="00D308E0">
              <w:rPr>
                <w:rFonts w:ascii="Arial" w:hAnsi="Arial" w:cs="Arial"/>
                <w:sz w:val="17"/>
                <w:szCs w:val="17"/>
                <w:lang w:eastAsia="en-AU"/>
              </w:rPr>
              <w:t>reasons for seeking readmission; and</w:t>
            </w:r>
          </w:p>
          <w:p w14:paraId="745DC26C" w14:textId="77777777" w:rsidR="00560D90" w:rsidRDefault="00560D90" w:rsidP="00F8769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  <w:lang w:eastAsia="en-AU"/>
              </w:rPr>
            </w:pPr>
            <w:r w:rsidRPr="00D308E0">
              <w:rPr>
                <w:rFonts w:ascii="Arial" w:hAnsi="Arial" w:cs="Arial"/>
                <w:sz w:val="17"/>
                <w:szCs w:val="17"/>
                <w:lang w:eastAsia="en-AU"/>
              </w:rPr>
              <w:t xml:space="preserve">the issues which contributed to poor academic performance; and action taken to address those issues. </w:t>
            </w:r>
          </w:p>
          <w:p w14:paraId="67303B50" w14:textId="154F07D1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60D90" w:rsidRPr="00D308E0" w14:paraId="2096FF77" w14:textId="77777777" w:rsidTr="00031F52">
        <w:trPr>
          <w:trHeight w:val="585"/>
        </w:trPr>
        <w:tc>
          <w:tcPr>
            <w:tcW w:w="2825" w:type="dxa"/>
            <w:vMerge/>
            <w:shd w:val="clear" w:color="auto" w:fill="DBE5F1" w:themeFill="accent1" w:themeFillTint="33"/>
          </w:tcPr>
          <w:p w14:paraId="75F28FB0" w14:textId="77777777" w:rsidR="00560D90" w:rsidRPr="00D308E0" w:rsidRDefault="00560D90" w:rsidP="00D653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757F50F7" w14:textId="77777777" w:rsidR="00560D90" w:rsidRPr="003B50B7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shd w:val="clear" w:color="auto" w:fill="DBE5F1" w:themeFill="accent1" w:themeFillTint="33"/>
          </w:tcPr>
          <w:p w14:paraId="305201A7" w14:textId="7CF6A9F6" w:rsidR="00560D90" w:rsidRPr="003B50B7" w:rsidRDefault="00560D90" w:rsidP="00D653F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7"/>
                <w:szCs w:val="17"/>
              </w:rPr>
            </w:pPr>
            <w:r w:rsidRPr="003B50B7">
              <w:rPr>
                <w:rFonts w:ascii="Arial" w:hAnsi="Arial" w:cs="Arial"/>
                <w:sz w:val="17"/>
                <w:szCs w:val="17"/>
              </w:rPr>
              <w:t xml:space="preserve">Misconduct </w:t>
            </w:r>
          </w:p>
        </w:tc>
        <w:tc>
          <w:tcPr>
            <w:tcW w:w="4741" w:type="dxa"/>
            <w:shd w:val="clear" w:color="auto" w:fill="DBE5F1" w:themeFill="accent1" w:themeFillTint="33"/>
          </w:tcPr>
          <w:p w14:paraId="5A067480" w14:textId="38BDD027" w:rsidR="00560D90" w:rsidRPr="003B50B7" w:rsidRDefault="00560D90" w:rsidP="00D653F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7"/>
                <w:szCs w:val="17"/>
              </w:rPr>
            </w:pPr>
            <w:r w:rsidRPr="003B50B7">
              <w:rPr>
                <w:rFonts w:ascii="Arial" w:hAnsi="Arial" w:cs="Arial"/>
                <w:sz w:val="17"/>
                <w:szCs w:val="17"/>
              </w:rPr>
              <w:t xml:space="preserve">Cancellation of a student’s current enrolment in any course offered by the University (as per 3.1(g) of the </w:t>
            </w:r>
            <w:hyperlink r:id="rId16" w:history="1">
              <w:r w:rsidRPr="003B50B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  <w:r w:rsidRPr="003B50B7">
              <w:rPr>
                <w:rFonts w:ascii="Arial" w:hAnsi="Arial" w:cs="Arial"/>
                <w:sz w:val="17"/>
                <w:szCs w:val="17"/>
              </w:rPr>
              <w:t>)</w:t>
            </w:r>
          </w:p>
          <w:p w14:paraId="41B2EBF3" w14:textId="2AB609DC" w:rsidR="00560D90" w:rsidRPr="003B50B7" w:rsidRDefault="00560D90" w:rsidP="00D653F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7"/>
                <w:szCs w:val="17"/>
              </w:rPr>
            </w:pPr>
            <w:r w:rsidRPr="003B50B7">
              <w:rPr>
                <w:rFonts w:ascii="Arial" w:hAnsi="Arial" w:cs="Arial"/>
                <w:sz w:val="17"/>
                <w:szCs w:val="17"/>
              </w:rPr>
              <w:t>A student’s admission and/or enrolment terminated or re-enrolment denied at the discretion of the University – behaviour grounds (</w:t>
            </w:r>
            <w:proofErr w:type="spellStart"/>
            <w:r w:rsidRPr="003B50B7">
              <w:rPr>
                <w:rFonts w:ascii="Arial" w:hAnsi="Arial" w:cs="Arial"/>
                <w:sz w:val="17"/>
                <w:szCs w:val="17"/>
              </w:rPr>
              <w:t>i</w:t>
            </w:r>
            <w:proofErr w:type="spellEnd"/>
            <w:r w:rsidRPr="003B50B7">
              <w:rPr>
                <w:rFonts w:ascii="Arial" w:hAnsi="Arial" w:cs="Arial"/>
                <w:sz w:val="17"/>
                <w:szCs w:val="17"/>
              </w:rPr>
              <w:t>) dishonest and/or deceitful behaviour during the course of study at the University, (ii) excluded from a course at the University on more than one occasion; (iii) previously suspended or excluded from a course at another institution; (v) the University considers that the student poses a risk to members of the University and/or the wider community (</w:t>
            </w:r>
            <w:hyperlink r:id="rId17" w:history="1">
              <w:r w:rsidRPr="003B50B7">
                <w:rPr>
                  <w:rStyle w:val="Hyperlink"/>
                  <w:rFonts w:ascii="Arial" w:hAnsi="Arial" w:cs="Arial"/>
                  <w:sz w:val="17"/>
                  <w:szCs w:val="17"/>
                </w:rPr>
                <w:t>Student Rule 22</w:t>
              </w:r>
            </w:hyperlink>
            <w:r w:rsidRPr="003B50B7">
              <w:rPr>
                <w:rFonts w:ascii="Arial" w:hAnsi="Arial" w:cs="Arial"/>
                <w:sz w:val="17"/>
                <w:szCs w:val="17"/>
              </w:rPr>
              <w:t xml:space="preserve">). Admission to coursework course or a Direct Pathway or transfer denied under the same grounds (clause 1.9 </w:t>
            </w:r>
            <w:hyperlink r:id="rId18" w:history="1">
              <w:r w:rsidRPr="003B50B7">
                <w:rPr>
                  <w:rStyle w:val="Hyperlink"/>
                  <w:rFonts w:ascii="Arial" w:hAnsi="Arial" w:cs="Arial"/>
                  <w:sz w:val="17"/>
                  <w:szCs w:val="17"/>
                </w:rPr>
                <w:t>University Policy on Admission Coursewor</w:t>
              </w:r>
            </w:hyperlink>
            <w:r w:rsidRPr="003B50B7">
              <w:rPr>
                <w:rStyle w:val="Hyperlink"/>
                <w:rFonts w:ascii="Arial" w:hAnsi="Arial" w:cs="Arial"/>
                <w:sz w:val="17"/>
                <w:szCs w:val="17"/>
              </w:rPr>
              <w:t>k UP16/5</w:t>
            </w:r>
            <w:r w:rsidRPr="003B50B7">
              <w:rPr>
                <w:rFonts w:ascii="Arial" w:hAnsi="Arial" w:cs="Arial"/>
                <w:sz w:val="17"/>
                <w:szCs w:val="17"/>
              </w:rPr>
              <w:t>).</w:t>
            </w:r>
          </w:p>
          <w:p w14:paraId="55162920" w14:textId="2ACB4C8C" w:rsidR="00560D90" w:rsidRPr="003B50B7" w:rsidRDefault="00560D90" w:rsidP="00AC47C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7"/>
                <w:szCs w:val="17"/>
              </w:rPr>
            </w:pPr>
            <w:r w:rsidRPr="003B50B7">
              <w:rPr>
                <w:rFonts w:ascii="Arial" w:hAnsi="Arial" w:cs="Arial"/>
                <w:sz w:val="17"/>
                <w:szCs w:val="17"/>
              </w:rPr>
              <w:t>Not permitted to re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3B50B7">
              <w:rPr>
                <w:rFonts w:ascii="Arial" w:hAnsi="Arial" w:cs="Arial"/>
                <w:sz w:val="17"/>
                <w:szCs w:val="17"/>
              </w:rPr>
              <w:t>enrol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0307A049" w14:textId="02F2FCB5" w:rsidR="00560D90" w:rsidRPr="003B50B7" w:rsidRDefault="00560D90" w:rsidP="00D653F1">
            <w:pPr>
              <w:spacing w:after="200" w:line="276" w:lineRule="auto"/>
              <w:rPr>
                <w:rFonts w:ascii="Arial" w:hAnsi="Arial" w:cs="Arial"/>
                <w:sz w:val="17"/>
                <w:szCs w:val="17"/>
              </w:rPr>
            </w:pPr>
            <w:r w:rsidRPr="003B50B7">
              <w:rPr>
                <w:rFonts w:ascii="Arial" w:hAnsi="Arial" w:cs="Arial"/>
                <w:sz w:val="17"/>
                <w:szCs w:val="17"/>
              </w:rPr>
              <w:t xml:space="preserve">Student must apply for admission to the University. </w:t>
            </w:r>
          </w:p>
          <w:p w14:paraId="5848919A" w14:textId="7E89AE5C" w:rsidR="00560D90" w:rsidRPr="003B50B7" w:rsidRDefault="00560D90" w:rsidP="00D653F1">
            <w:pPr>
              <w:spacing w:after="200" w:line="276" w:lineRule="auto"/>
              <w:rPr>
                <w:rFonts w:ascii="Arial" w:hAnsi="Arial" w:cs="Arial"/>
                <w:sz w:val="17"/>
                <w:szCs w:val="17"/>
              </w:rPr>
            </w:pPr>
            <w:r w:rsidRPr="003B50B7">
              <w:rPr>
                <w:rFonts w:ascii="Arial" w:hAnsi="Arial" w:cs="Arial"/>
                <w:sz w:val="17"/>
                <w:szCs w:val="17"/>
              </w:rPr>
              <w:t xml:space="preserve">The student may opt to study in the same course or choose another course. </w:t>
            </w:r>
          </w:p>
          <w:p w14:paraId="7306A280" w14:textId="61338331" w:rsidR="00560D90" w:rsidRPr="003B50B7" w:rsidRDefault="00560D90" w:rsidP="00D653F1">
            <w:pPr>
              <w:spacing w:after="200" w:line="276" w:lineRule="auto"/>
              <w:rPr>
                <w:rFonts w:ascii="Arial" w:hAnsi="Arial" w:cs="Arial"/>
                <w:sz w:val="17"/>
                <w:szCs w:val="17"/>
              </w:rPr>
            </w:pPr>
            <w:r w:rsidRPr="003B50B7">
              <w:rPr>
                <w:rFonts w:ascii="Arial" w:hAnsi="Arial" w:cs="Arial"/>
                <w:sz w:val="17"/>
                <w:szCs w:val="17"/>
              </w:rPr>
              <w:t>Certain courses (e.g.</w:t>
            </w:r>
            <w:r>
              <w:rPr>
                <w:rFonts w:ascii="Arial" w:hAnsi="Arial" w:cs="Arial"/>
                <w:sz w:val="17"/>
                <w:szCs w:val="17"/>
              </w:rPr>
              <w:t xml:space="preserve"> Medicine</w:t>
            </w:r>
            <w:r w:rsidRPr="003B50B7">
              <w:rPr>
                <w:rFonts w:ascii="Arial" w:hAnsi="Arial" w:cs="Arial"/>
                <w:sz w:val="17"/>
                <w:szCs w:val="17"/>
              </w:rPr>
              <w:t>) are exempted from allowing students to be readmitted into the same course.</w:t>
            </w:r>
          </w:p>
          <w:p w14:paraId="4E349913" w14:textId="08B3B83E" w:rsidR="00560D90" w:rsidRPr="003B50B7" w:rsidRDefault="00560D90" w:rsidP="00D653F1">
            <w:pPr>
              <w:spacing w:after="200" w:line="276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3" w:type="dxa"/>
            <w:shd w:val="clear" w:color="auto" w:fill="DBE5F1" w:themeFill="accent1" w:themeFillTint="33"/>
          </w:tcPr>
          <w:p w14:paraId="4F845DD6" w14:textId="193B2BA7" w:rsidR="00560D90" w:rsidRPr="003B50B7" w:rsidRDefault="00560D90" w:rsidP="00D653F1">
            <w:pPr>
              <w:spacing w:after="200" w:line="276" w:lineRule="auto"/>
              <w:rPr>
                <w:rFonts w:ascii="Arial" w:hAnsi="Arial" w:cs="Arial"/>
                <w:sz w:val="17"/>
                <w:szCs w:val="17"/>
              </w:rPr>
            </w:pPr>
            <w:r w:rsidRPr="003B50B7">
              <w:rPr>
                <w:rFonts w:ascii="Arial" w:hAnsi="Arial" w:cs="Arial"/>
                <w:sz w:val="17"/>
                <w:szCs w:val="17"/>
              </w:rPr>
              <w:t>Lodge application with Admission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3B50B7">
              <w:rPr>
                <w:rFonts w:ascii="Arial" w:hAnsi="Arial" w:cs="Arial"/>
                <w:sz w:val="17"/>
                <w:szCs w:val="17"/>
              </w:rPr>
              <w:t xml:space="preserve"> in accordance with </w:t>
            </w:r>
            <w:hyperlink r:id="rId19" w:history="1">
              <w:r w:rsidRPr="003B50B7">
                <w:rPr>
                  <w:rStyle w:val="Hyperlink"/>
                  <w:rFonts w:ascii="Arial" w:hAnsi="Arial" w:cs="Arial"/>
                  <w:sz w:val="17"/>
                  <w:szCs w:val="17"/>
                  <w:lang w:eastAsia="en-AU"/>
                </w:rPr>
                <w:t>University Policy on Admission - Coursework (UP16/5)</w:t>
              </w:r>
            </w:hyperlink>
          </w:p>
          <w:p w14:paraId="06AAE7E4" w14:textId="77777777" w:rsidR="00560D90" w:rsidRDefault="00560D90" w:rsidP="00D653F1">
            <w:pPr>
              <w:spacing w:after="200" w:line="276" w:lineRule="auto"/>
              <w:rPr>
                <w:rFonts w:ascii="Arial" w:hAnsi="Arial" w:cs="Arial"/>
                <w:sz w:val="17"/>
                <w:szCs w:val="17"/>
              </w:rPr>
            </w:pPr>
            <w:r w:rsidRPr="003B50B7">
              <w:rPr>
                <w:rFonts w:ascii="Arial" w:hAnsi="Arial" w:cs="Arial"/>
                <w:sz w:val="17"/>
                <w:szCs w:val="17"/>
              </w:rPr>
              <w:t>(competitive process)</w:t>
            </w:r>
          </w:p>
          <w:p w14:paraId="52E14FAF" w14:textId="1E85F308" w:rsidR="00560D90" w:rsidRPr="003B50B7" w:rsidRDefault="00560D90" w:rsidP="00AA2B5F">
            <w:pPr>
              <w:spacing w:after="200" w:line="276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HDR students lodge application in</w:t>
            </w:r>
            <w:r w:rsidRPr="00901D09">
              <w:rPr>
                <w:rFonts w:ascii="Arial" w:hAnsi="Arial" w:cs="Arial"/>
                <w:sz w:val="17"/>
                <w:szCs w:val="17"/>
              </w:rPr>
              <w:t xml:space="preserve"> accordance with the</w:t>
            </w:r>
            <w:r>
              <w:rPr>
                <w:rFonts w:ascii="Arial" w:hAnsi="Arial" w:cs="Arial"/>
                <w:sz w:val="17"/>
                <w:szCs w:val="17"/>
              </w:rPr>
              <w:t xml:space="preserve"> standard application process for the course</w:t>
            </w:r>
          </w:p>
        </w:tc>
      </w:tr>
      <w:tr w:rsidR="00560D90" w:rsidRPr="00D308E0" w14:paraId="1CCCD5BD" w14:textId="77777777" w:rsidTr="00031F52">
        <w:trPr>
          <w:trHeight w:val="585"/>
        </w:trPr>
        <w:tc>
          <w:tcPr>
            <w:tcW w:w="2825" w:type="dxa"/>
            <w:vMerge/>
            <w:shd w:val="clear" w:color="auto" w:fill="DBE5F1" w:themeFill="accent1" w:themeFillTint="33"/>
          </w:tcPr>
          <w:p w14:paraId="301EF73A" w14:textId="44B0309C" w:rsidR="00560D90" w:rsidRPr="00D308E0" w:rsidRDefault="00560D90" w:rsidP="00D653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2EFF45D6" w14:textId="77777777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shd w:val="clear" w:color="auto" w:fill="DBE5F1" w:themeFill="accent1" w:themeFillTint="33"/>
          </w:tcPr>
          <w:p w14:paraId="1226ED73" w14:textId="2F25DF81" w:rsidR="00560D90" w:rsidRDefault="00560D90" w:rsidP="00D653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Not fit to practice</w:t>
            </w:r>
          </w:p>
        </w:tc>
        <w:tc>
          <w:tcPr>
            <w:tcW w:w="4741" w:type="dxa"/>
            <w:shd w:val="clear" w:color="auto" w:fill="DBE5F1" w:themeFill="accent1" w:themeFillTint="33"/>
          </w:tcPr>
          <w:p w14:paraId="7A700BEC" w14:textId="0706CBF6" w:rsidR="00560D90" w:rsidRPr="006C416F" w:rsidRDefault="00560D90" w:rsidP="00D653F1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AC0EE6">
              <w:rPr>
                <w:rFonts w:ascii="Arial" w:hAnsi="Arial" w:cs="Arial"/>
                <w:sz w:val="17"/>
                <w:szCs w:val="17"/>
              </w:rPr>
              <w:t>Not permitted to re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AC0EE6">
              <w:rPr>
                <w:rFonts w:ascii="Arial" w:hAnsi="Arial" w:cs="Arial"/>
                <w:sz w:val="17"/>
                <w:szCs w:val="17"/>
              </w:rPr>
              <w:t xml:space="preserve">enrol 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378650F3" w14:textId="378FA995" w:rsidR="00560D90" w:rsidRPr="006C416F" w:rsidRDefault="00560D90" w:rsidP="00D653F1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AC0EE6">
              <w:rPr>
                <w:rFonts w:ascii="Arial" w:hAnsi="Arial" w:cs="Arial"/>
                <w:sz w:val="17"/>
                <w:szCs w:val="17"/>
              </w:rPr>
              <w:t xml:space="preserve">The relevant </w:t>
            </w:r>
            <w:r>
              <w:rPr>
                <w:rFonts w:ascii="Arial" w:hAnsi="Arial" w:cs="Arial"/>
                <w:sz w:val="17"/>
                <w:szCs w:val="17"/>
              </w:rPr>
              <w:t>school</w:t>
            </w:r>
            <w:r w:rsidRPr="00AC0EE6">
              <w:rPr>
                <w:rFonts w:ascii="Arial" w:hAnsi="Arial" w:cs="Arial"/>
                <w:sz w:val="17"/>
                <w:szCs w:val="17"/>
              </w:rPr>
              <w:t xml:space="preserve"> or board must be satisfied that the student can meet the inherent requirements of the profession (as determined by the accrediting professional </w:t>
            </w:r>
            <w:r>
              <w:rPr>
                <w:rFonts w:ascii="Arial" w:hAnsi="Arial" w:cs="Arial"/>
                <w:sz w:val="17"/>
                <w:szCs w:val="17"/>
              </w:rPr>
              <w:t>body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3558FE89" w14:textId="7C492608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 xml:space="preserve">Lodge application with Admission in accordance with </w:t>
            </w:r>
            <w:hyperlink r:id="rId20" w:history="1">
              <w:r w:rsidRPr="00D308E0">
                <w:rPr>
                  <w:rStyle w:val="Hyperlink"/>
                  <w:rFonts w:ascii="Arial" w:hAnsi="Arial" w:cs="Arial"/>
                  <w:sz w:val="17"/>
                  <w:szCs w:val="17"/>
                  <w:lang w:eastAsia="en-AU"/>
                </w:rPr>
                <w:t>University Policy on Admission - Coursework (UP16/5)</w:t>
              </w:r>
            </w:hyperlink>
            <w:r w:rsidRPr="00D308E0">
              <w:rPr>
                <w:rFonts w:ascii="Arial" w:hAnsi="Arial" w:cs="Arial"/>
                <w:sz w:val="17"/>
                <w:szCs w:val="17"/>
              </w:rPr>
              <w:t xml:space="preserve"> (competitive process)</w:t>
            </w:r>
          </w:p>
          <w:p w14:paraId="38D51342" w14:textId="77777777" w:rsidR="00560D90" w:rsidRDefault="00560D90" w:rsidP="00D653F1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>
              <w:rPr>
                <w:rFonts w:ascii="Arial" w:hAnsi="Arial" w:cs="Arial"/>
                <w:sz w:val="17"/>
                <w:szCs w:val="17"/>
              </w:rPr>
              <w:t>For HDR students lodge application in</w:t>
            </w:r>
            <w:r w:rsidRPr="00901D09">
              <w:rPr>
                <w:rFonts w:ascii="Arial" w:hAnsi="Arial" w:cs="Arial"/>
                <w:sz w:val="17"/>
                <w:szCs w:val="17"/>
              </w:rPr>
              <w:t xml:space="preserve"> accordance with the</w:t>
            </w:r>
            <w:r>
              <w:rPr>
                <w:rFonts w:ascii="Arial" w:hAnsi="Arial" w:cs="Arial"/>
                <w:sz w:val="17"/>
                <w:szCs w:val="17"/>
              </w:rPr>
              <w:t xml:space="preserve"> standard application process for the course</w:t>
            </w:r>
            <w:r w:rsidRPr="006C416F">
              <w:rPr>
                <w:rFonts w:ascii="Arial" w:hAnsi="Arial" w:cs="Arial"/>
                <w:sz w:val="17"/>
                <w:szCs w:val="17"/>
                <w:highlight w:val="yellow"/>
              </w:rPr>
              <w:t xml:space="preserve"> </w:t>
            </w:r>
          </w:p>
          <w:p w14:paraId="6B9C50F1" w14:textId="77777777" w:rsidR="00560D90" w:rsidRDefault="00560D90" w:rsidP="00D653F1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  <w:p w14:paraId="36DC49A1" w14:textId="269B2296" w:rsidR="00560D90" w:rsidRPr="006C416F" w:rsidRDefault="00560D90" w:rsidP="00D653F1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F87694">
              <w:rPr>
                <w:rFonts w:ascii="Arial" w:hAnsi="Arial" w:cs="Arial"/>
                <w:sz w:val="17"/>
                <w:szCs w:val="17"/>
                <w:lang w:eastAsia="en-AU"/>
              </w:rPr>
              <w:t xml:space="preserve">NB. </w:t>
            </w:r>
            <w:r>
              <w:rPr>
                <w:rFonts w:ascii="Arial" w:hAnsi="Arial" w:cs="Arial"/>
                <w:sz w:val="17"/>
                <w:szCs w:val="17"/>
                <w:lang w:eastAsia="en-AU"/>
              </w:rPr>
              <w:t>Permitted to apply for entry to other courses unless also deemed Unfit to Study</w:t>
            </w:r>
          </w:p>
        </w:tc>
      </w:tr>
      <w:tr w:rsidR="00560D90" w:rsidRPr="00D308E0" w14:paraId="6B2D1ED8" w14:textId="77777777" w:rsidTr="00031F52">
        <w:trPr>
          <w:trHeight w:val="585"/>
        </w:trPr>
        <w:tc>
          <w:tcPr>
            <w:tcW w:w="2825" w:type="dxa"/>
            <w:vMerge/>
            <w:shd w:val="clear" w:color="auto" w:fill="DBE5F1" w:themeFill="accent1" w:themeFillTint="33"/>
          </w:tcPr>
          <w:p w14:paraId="0FDB1CF0" w14:textId="77777777" w:rsidR="00560D90" w:rsidRPr="00D308E0" w:rsidRDefault="00560D90" w:rsidP="00D653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63F1D6A9" w14:textId="77777777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shd w:val="clear" w:color="auto" w:fill="DBE5F1" w:themeFill="accent1" w:themeFillTint="33"/>
          </w:tcPr>
          <w:p w14:paraId="4FC5096E" w14:textId="2ED30447" w:rsidR="00560D90" w:rsidRDefault="00DC2F9A" w:rsidP="00D653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hyperlink r:id="rId21" w:history="1">
              <w:r w:rsidR="00560D90" w:rsidRPr="00901D09">
                <w:rPr>
                  <w:rStyle w:val="Hyperlink"/>
                  <w:rFonts w:ascii="Arial" w:hAnsi="Arial" w:cs="Arial"/>
                  <w:sz w:val="17"/>
                  <w:szCs w:val="17"/>
                </w:rPr>
                <w:t>Termination of HDR candidature</w:t>
              </w:r>
            </w:hyperlink>
          </w:p>
        </w:tc>
        <w:tc>
          <w:tcPr>
            <w:tcW w:w="4741" w:type="dxa"/>
            <w:shd w:val="clear" w:color="auto" w:fill="DBE5F1" w:themeFill="accent1" w:themeFillTint="33"/>
          </w:tcPr>
          <w:p w14:paraId="55079A59" w14:textId="2B3BD69B" w:rsidR="00560D90" w:rsidRPr="006C416F" w:rsidRDefault="00560D90" w:rsidP="00D653F1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>
              <w:rPr>
                <w:rFonts w:ascii="Arial" w:hAnsi="Arial" w:cs="Arial"/>
                <w:sz w:val="17"/>
                <w:szCs w:val="17"/>
              </w:rPr>
              <w:t>May not be permitted to enrol in an HDR program in the future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1FB93CEC" w14:textId="68564BC1" w:rsidR="00560D90" w:rsidRPr="006C416F" w:rsidRDefault="00560D90" w:rsidP="00D653F1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>
              <w:rPr>
                <w:rFonts w:ascii="Arial" w:hAnsi="Arial" w:cs="Arial"/>
                <w:sz w:val="17"/>
                <w:szCs w:val="17"/>
              </w:rPr>
              <w:t>Varies – case specific.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2062F57D" w14:textId="642CBADF" w:rsidR="00560D90" w:rsidRPr="006C416F" w:rsidRDefault="00560D90" w:rsidP="00BD0EBD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901D09">
              <w:rPr>
                <w:rFonts w:ascii="Arial" w:hAnsi="Arial" w:cs="Arial"/>
                <w:sz w:val="17"/>
                <w:szCs w:val="17"/>
              </w:rPr>
              <w:t>In accordance with the</w:t>
            </w:r>
            <w:r>
              <w:rPr>
                <w:rFonts w:ascii="Arial" w:hAnsi="Arial" w:cs="Arial"/>
                <w:sz w:val="17"/>
                <w:szCs w:val="17"/>
              </w:rPr>
              <w:t xml:space="preserve"> standard application process for the course</w:t>
            </w:r>
          </w:p>
        </w:tc>
      </w:tr>
      <w:tr w:rsidR="00560D90" w:rsidRPr="00D308E0" w14:paraId="63CE95F5" w14:textId="77777777" w:rsidTr="00031F52">
        <w:trPr>
          <w:trHeight w:val="585"/>
        </w:trPr>
        <w:tc>
          <w:tcPr>
            <w:tcW w:w="2825" w:type="dxa"/>
            <w:vMerge/>
            <w:shd w:val="clear" w:color="auto" w:fill="DBE5F1" w:themeFill="accent1" w:themeFillTint="33"/>
          </w:tcPr>
          <w:p w14:paraId="3073CE38" w14:textId="77777777" w:rsidR="00560D90" w:rsidRPr="00D308E0" w:rsidRDefault="00560D90" w:rsidP="00D653F1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 w:val="restart"/>
            <w:shd w:val="clear" w:color="auto" w:fill="DBE5F1" w:themeFill="accent1" w:themeFillTint="33"/>
          </w:tcPr>
          <w:p w14:paraId="65BB0725" w14:textId="48915FA5" w:rsidR="00560D90" w:rsidRPr="0043316E" w:rsidRDefault="00560D90" w:rsidP="00D653F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3316E">
              <w:rPr>
                <w:rFonts w:ascii="Arial" w:hAnsi="Arial" w:cs="Arial"/>
                <w:b/>
                <w:sz w:val="17"/>
                <w:szCs w:val="17"/>
              </w:rPr>
              <w:t>The Institution</w:t>
            </w:r>
          </w:p>
        </w:tc>
        <w:tc>
          <w:tcPr>
            <w:tcW w:w="3105" w:type="dxa"/>
            <w:shd w:val="clear" w:color="auto" w:fill="DBE5F1" w:themeFill="accent1" w:themeFillTint="33"/>
          </w:tcPr>
          <w:p w14:paraId="39BAF3A0" w14:textId="2141DC1E" w:rsidR="00560D90" w:rsidRPr="005575FA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Academic Progress, e.g. e</w:t>
            </w:r>
            <w:r w:rsidRPr="005575FA">
              <w:rPr>
                <w:rFonts w:ascii="Arial" w:hAnsi="Arial" w:cs="Arial"/>
                <w:sz w:val="17"/>
                <w:szCs w:val="17"/>
              </w:rPr>
              <w:t>xcluded from a course at the University on more than one occasion;</w:t>
            </w:r>
          </w:p>
          <w:p w14:paraId="5421042F" w14:textId="7A73B8F2" w:rsidR="00560D90" w:rsidRPr="005575FA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5575FA">
              <w:rPr>
                <w:rFonts w:ascii="Arial" w:hAnsi="Arial" w:cs="Arial"/>
                <w:sz w:val="17"/>
                <w:szCs w:val="17"/>
              </w:rPr>
              <w:t xml:space="preserve">Minimal or no academic progress during the enrolled course over three academic years or </w:t>
            </w:r>
            <w:r>
              <w:rPr>
                <w:rFonts w:ascii="Arial" w:hAnsi="Arial" w:cs="Arial"/>
                <w:sz w:val="17"/>
                <w:szCs w:val="17"/>
              </w:rPr>
              <w:t>u</w:t>
            </w:r>
            <w:r w:rsidRPr="005575FA">
              <w:rPr>
                <w:rFonts w:ascii="Arial" w:hAnsi="Arial" w:cs="Arial"/>
                <w:sz w:val="17"/>
                <w:szCs w:val="17"/>
              </w:rPr>
              <w:t>nable to meet course requirements within the time limit specified for the course</w:t>
            </w:r>
          </w:p>
          <w:p w14:paraId="530DF73F" w14:textId="3497AC54" w:rsidR="00560D90" w:rsidRDefault="00560D90" w:rsidP="00D653F1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41" w:type="dxa"/>
            <w:shd w:val="clear" w:color="auto" w:fill="DBE5F1" w:themeFill="accent1" w:themeFillTint="33"/>
          </w:tcPr>
          <w:p w14:paraId="59D31FCD" w14:textId="76A62B69" w:rsidR="00560D90" w:rsidRPr="006C416F" w:rsidRDefault="00560D90" w:rsidP="00D653F1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5575FA">
              <w:rPr>
                <w:rFonts w:ascii="Arial" w:hAnsi="Arial" w:cs="Arial"/>
                <w:sz w:val="17"/>
                <w:szCs w:val="17"/>
              </w:rPr>
              <w:t>Excluded for a period of three years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28C3F709" w14:textId="6BA5F2E4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C07D1D">
              <w:rPr>
                <w:rFonts w:ascii="Arial" w:hAnsi="Arial" w:cs="Arial"/>
                <w:sz w:val="17"/>
                <w:szCs w:val="17"/>
              </w:rPr>
              <w:t>After three years the student may apply for re-admission, in which student must demonstrate, to the satisfaction of the University, potential to make academic progress</w:t>
            </w:r>
          </w:p>
          <w:p w14:paraId="1377D53D" w14:textId="77777777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3" w:type="dxa"/>
            <w:shd w:val="clear" w:color="auto" w:fill="DBE5F1" w:themeFill="accent1" w:themeFillTint="33"/>
          </w:tcPr>
          <w:p w14:paraId="09A55ABF" w14:textId="6D208CD5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 </w:t>
            </w:r>
            <w:r w:rsidRPr="00D308E0">
              <w:rPr>
                <w:rFonts w:ascii="Arial" w:hAnsi="Arial" w:cs="Arial"/>
                <w:sz w:val="17"/>
                <w:szCs w:val="17"/>
              </w:rPr>
              <w:t xml:space="preserve">accordance with </w:t>
            </w:r>
            <w:hyperlink r:id="rId22" w:history="1">
              <w:r w:rsidRPr="00D308E0">
                <w:rPr>
                  <w:rStyle w:val="Hyperlink"/>
                  <w:rFonts w:ascii="Arial" w:hAnsi="Arial" w:cs="Arial"/>
                  <w:sz w:val="17"/>
                  <w:szCs w:val="17"/>
                  <w:lang w:eastAsia="en-AU"/>
                </w:rPr>
                <w:t>University Policy on Admission - Coursework (UP16/5)</w:t>
              </w:r>
            </w:hyperlink>
          </w:p>
          <w:p w14:paraId="378A321D" w14:textId="77777777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>(competitive process)</w:t>
            </w:r>
          </w:p>
          <w:p w14:paraId="773C4FDC" w14:textId="4C654FB0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HDR students lodge application in</w:t>
            </w:r>
            <w:r w:rsidRPr="00901D09">
              <w:rPr>
                <w:rFonts w:ascii="Arial" w:hAnsi="Arial" w:cs="Arial"/>
                <w:sz w:val="17"/>
                <w:szCs w:val="17"/>
              </w:rPr>
              <w:t xml:space="preserve"> accordance with the</w:t>
            </w:r>
            <w:r>
              <w:rPr>
                <w:rFonts w:ascii="Arial" w:hAnsi="Arial" w:cs="Arial"/>
                <w:sz w:val="17"/>
                <w:szCs w:val="17"/>
              </w:rPr>
              <w:t xml:space="preserve"> standard application process for the course</w:t>
            </w:r>
          </w:p>
        </w:tc>
      </w:tr>
      <w:tr w:rsidR="00560D90" w:rsidRPr="00D308E0" w14:paraId="1CC363E9" w14:textId="77777777" w:rsidTr="00031F52">
        <w:trPr>
          <w:trHeight w:val="585"/>
        </w:trPr>
        <w:tc>
          <w:tcPr>
            <w:tcW w:w="2825" w:type="dxa"/>
            <w:vMerge/>
            <w:shd w:val="clear" w:color="auto" w:fill="DBE5F1" w:themeFill="accent1" w:themeFillTint="33"/>
          </w:tcPr>
          <w:p w14:paraId="41F88D91" w14:textId="77777777" w:rsidR="00560D90" w:rsidRPr="00D308E0" w:rsidRDefault="00560D90" w:rsidP="00D653F1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775BC6D8" w14:textId="77777777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shd w:val="clear" w:color="auto" w:fill="DBE5F1" w:themeFill="accent1" w:themeFillTint="33"/>
          </w:tcPr>
          <w:p w14:paraId="16E83E23" w14:textId="25F5D164" w:rsidR="00560D90" w:rsidRDefault="00560D90" w:rsidP="00D653F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Misconduct </w:t>
            </w:r>
          </w:p>
        </w:tc>
        <w:tc>
          <w:tcPr>
            <w:tcW w:w="4741" w:type="dxa"/>
            <w:shd w:val="clear" w:color="auto" w:fill="DBE5F1" w:themeFill="accent1" w:themeFillTint="33"/>
          </w:tcPr>
          <w:p w14:paraId="201A12B1" w14:textId="613AA655" w:rsidR="00560D90" w:rsidRPr="00901D09" w:rsidRDefault="00560D90" w:rsidP="00450B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7"/>
                <w:szCs w:val="17"/>
              </w:rPr>
            </w:pPr>
            <w:r w:rsidRPr="00901D09">
              <w:rPr>
                <w:rFonts w:ascii="Arial" w:hAnsi="Arial" w:cs="Arial"/>
                <w:sz w:val="17"/>
                <w:szCs w:val="17"/>
              </w:rPr>
              <w:t xml:space="preserve">Cancellation of a student’s current enrolment in any course offered by the University (as per 3.1(g) of the </w:t>
            </w:r>
            <w:hyperlink r:id="rId23" w:history="1">
              <w:r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  <w:r w:rsidRPr="00901D09"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901D09">
              <w:rPr>
                <w:rFonts w:ascii="Arial" w:hAnsi="Arial" w:cs="Arial"/>
                <w:b/>
                <w:sz w:val="17"/>
                <w:szCs w:val="17"/>
              </w:rPr>
              <w:t xml:space="preserve">in conjunction with </w:t>
            </w:r>
            <w:r w:rsidRPr="00901D09">
              <w:rPr>
                <w:rFonts w:ascii="Arial" w:hAnsi="Arial" w:cs="Arial"/>
                <w:sz w:val="17"/>
                <w:szCs w:val="17"/>
              </w:rPr>
              <w:t xml:space="preserve">exclusion from enrolment in </w:t>
            </w:r>
            <w:r w:rsidRPr="001136E4">
              <w:rPr>
                <w:rFonts w:ascii="Arial" w:hAnsi="Arial" w:cs="Arial"/>
                <w:b/>
                <w:sz w:val="17"/>
                <w:szCs w:val="17"/>
              </w:rPr>
              <w:t>all courses or units</w:t>
            </w:r>
            <w:r w:rsidRPr="00901D09">
              <w:rPr>
                <w:rFonts w:ascii="Arial" w:hAnsi="Arial" w:cs="Arial"/>
                <w:sz w:val="17"/>
                <w:szCs w:val="17"/>
              </w:rPr>
              <w:t xml:space="preserve"> by the University for a period of up to one academic year (3.1(f))</w:t>
            </w:r>
            <w:r>
              <w:rPr>
                <w:rFonts w:ascii="Arial" w:hAnsi="Arial" w:cs="Arial"/>
                <w:sz w:val="17"/>
                <w:szCs w:val="17"/>
              </w:rPr>
              <w:t xml:space="preserve"> of the </w:t>
            </w:r>
            <w:hyperlink r:id="rId24" w:history="1">
              <w:r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</w:p>
          <w:p w14:paraId="30148CD5" w14:textId="2CC9EC47" w:rsidR="00560D90" w:rsidRDefault="00560D90" w:rsidP="00450B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 student’s admission and/or enrolment terminated or re-enrolment denied </w:t>
            </w:r>
            <w:r w:rsidRPr="0051625B">
              <w:rPr>
                <w:rFonts w:ascii="Arial" w:hAnsi="Arial" w:cs="Arial"/>
                <w:sz w:val="17"/>
                <w:szCs w:val="17"/>
              </w:rPr>
              <w:t>at the discretion of the University – behaviour grounds (</w:t>
            </w:r>
            <w:proofErr w:type="spellStart"/>
            <w:r w:rsidRPr="0051625B">
              <w:rPr>
                <w:rFonts w:ascii="Arial" w:hAnsi="Arial" w:cs="Arial"/>
                <w:sz w:val="17"/>
                <w:szCs w:val="17"/>
              </w:rPr>
              <w:t>i</w:t>
            </w:r>
            <w:proofErr w:type="spellEnd"/>
            <w:r w:rsidRPr="0051625B"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t xml:space="preserve"> dishonest and/or deceitful behaviour during the course of study at the University</w:t>
            </w:r>
            <w:r w:rsidRPr="0051625B">
              <w:rPr>
                <w:rFonts w:ascii="Arial" w:hAnsi="Arial" w:cs="Arial"/>
                <w:sz w:val="17"/>
                <w:szCs w:val="17"/>
              </w:rPr>
              <w:t>, (ii)</w:t>
            </w:r>
            <w:r>
              <w:rPr>
                <w:rFonts w:ascii="Arial" w:hAnsi="Arial" w:cs="Arial"/>
                <w:sz w:val="17"/>
                <w:szCs w:val="17"/>
              </w:rPr>
              <w:t xml:space="preserve"> excluded from a course at the University on more than one occasion; (iii) previously suspended or excluded from a course at another institution;</w:t>
            </w:r>
            <w:r w:rsidRPr="0051625B">
              <w:rPr>
                <w:rFonts w:ascii="Arial" w:hAnsi="Arial" w:cs="Arial"/>
                <w:sz w:val="17"/>
                <w:szCs w:val="17"/>
              </w:rPr>
              <w:t xml:space="preserve"> (v) </w:t>
            </w:r>
            <w:r>
              <w:rPr>
                <w:rFonts w:ascii="Arial" w:hAnsi="Arial" w:cs="Arial"/>
                <w:sz w:val="17"/>
                <w:szCs w:val="17"/>
              </w:rPr>
              <w:t>the University considers that the student poses a risk to members of the University and/or the wider community (</w:t>
            </w:r>
            <w:hyperlink r:id="rId25" w:history="1">
              <w:r w:rsidRPr="00450B09">
                <w:rPr>
                  <w:rStyle w:val="Hyperlink"/>
                  <w:rFonts w:ascii="Arial" w:hAnsi="Arial" w:cs="Arial"/>
                  <w:sz w:val="17"/>
                  <w:szCs w:val="17"/>
                </w:rPr>
                <w:t>Student Rule 22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)</w:t>
            </w:r>
            <w:r w:rsidRPr="0051625B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1873CA51" w14:textId="532CF396" w:rsidR="00560D90" w:rsidRPr="00AA2B5F" w:rsidRDefault="00560D90" w:rsidP="00D653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450B09">
              <w:rPr>
                <w:rFonts w:ascii="Arial" w:hAnsi="Arial" w:cs="Arial"/>
                <w:sz w:val="17"/>
                <w:szCs w:val="17"/>
              </w:rPr>
              <w:t xml:space="preserve">Admission to a coursework course or a Direct Pathway or transfer denied under the same grounds as in </w:t>
            </w:r>
            <w:hyperlink r:id="rId26" w:history="1">
              <w:r w:rsidRPr="00450B09">
                <w:rPr>
                  <w:rStyle w:val="Hyperlink"/>
                  <w:rFonts w:ascii="Arial" w:hAnsi="Arial" w:cs="Arial"/>
                  <w:sz w:val="17"/>
                  <w:szCs w:val="17"/>
                </w:rPr>
                <w:t>Student Rule 22</w:t>
              </w:r>
            </w:hyperlink>
            <w:r w:rsidRPr="00450B09">
              <w:rPr>
                <w:rFonts w:ascii="Arial" w:hAnsi="Arial" w:cs="Arial"/>
                <w:sz w:val="17"/>
                <w:szCs w:val="17"/>
              </w:rPr>
              <w:t xml:space="preserve"> (clause 1.9 </w:t>
            </w:r>
            <w:hyperlink r:id="rId27" w:history="1">
              <w:r w:rsidRPr="00450B09">
                <w:rPr>
                  <w:rStyle w:val="Hyperlink"/>
                  <w:rFonts w:ascii="Arial" w:hAnsi="Arial" w:cs="Arial"/>
                  <w:sz w:val="17"/>
                  <w:szCs w:val="17"/>
                  <w:lang w:eastAsia="en-AU"/>
                </w:rPr>
                <w:t xml:space="preserve">University Policy on Admission </w:t>
              </w:r>
              <w:r>
                <w:rPr>
                  <w:rStyle w:val="Hyperlink"/>
                  <w:rFonts w:ascii="Arial" w:hAnsi="Arial" w:cs="Arial"/>
                  <w:sz w:val="17"/>
                  <w:szCs w:val="17"/>
                  <w:lang w:eastAsia="en-AU"/>
                </w:rPr>
                <w:t>–</w:t>
              </w:r>
              <w:r w:rsidRPr="00450B09">
                <w:rPr>
                  <w:rStyle w:val="Hyperlink"/>
                  <w:rFonts w:ascii="Arial" w:hAnsi="Arial" w:cs="Arial"/>
                  <w:sz w:val="17"/>
                  <w:szCs w:val="17"/>
                  <w:lang w:eastAsia="en-AU"/>
                </w:rPr>
                <w:t xml:space="preserve"> Coursewor</w:t>
              </w:r>
              <w:r>
                <w:rPr>
                  <w:rStyle w:val="Hyperlink"/>
                  <w:rFonts w:ascii="Arial" w:hAnsi="Arial" w:cs="Arial"/>
                  <w:sz w:val="17"/>
                  <w:szCs w:val="17"/>
                  <w:lang w:eastAsia="en-AU"/>
                </w:rPr>
                <w:t>k UP16/5</w:t>
              </w:r>
              <w:r w:rsidRPr="00450B09">
                <w:rPr>
                  <w:rStyle w:val="Hyperlink"/>
                  <w:rFonts w:ascii="Arial" w:hAnsi="Arial" w:cs="Arial"/>
                  <w:sz w:val="17"/>
                  <w:szCs w:val="17"/>
                  <w:lang w:eastAsia="en-AU"/>
                </w:rPr>
                <w:t>)</w:t>
              </w:r>
            </w:hyperlink>
          </w:p>
          <w:p w14:paraId="23E3936B" w14:textId="2AA4764B" w:rsidR="00560D90" w:rsidRPr="00901D09" w:rsidRDefault="00560D90" w:rsidP="00D653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901D09">
              <w:rPr>
                <w:rFonts w:ascii="Arial" w:hAnsi="Arial" w:cs="Arial"/>
                <w:sz w:val="17"/>
                <w:szCs w:val="17"/>
              </w:rPr>
              <w:t>Not permitted to re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901D09">
              <w:rPr>
                <w:rFonts w:ascii="Arial" w:hAnsi="Arial" w:cs="Arial"/>
                <w:sz w:val="17"/>
                <w:szCs w:val="17"/>
              </w:rPr>
              <w:t>enrol</w:t>
            </w:r>
          </w:p>
          <w:p w14:paraId="66A48D51" w14:textId="77777777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45" w:type="dxa"/>
            <w:shd w:val="clear" w:color="auto" w:fill="DBE5F1" w:themeFill="accent1" w:themeFillTint="33"/>
          </w:tcPr>
          <w:p w14:paraId="51CE5D01" w14:textId="5B96FE96" w:rsidR="00560D90" w:rsidRPr="005575FA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DD64A4">
              <w:rPr>
                <w:rFonts w:ascii="Arial" w:hAnsi="Arial" w:cs="Arial"/>
                <w:sz w:val="17"/>
                <w:szCs w:val="17"/>
              </w:rPr>
              <w:t>Must apply for readmission to the University and the student may opt to study in the same course or choose another course</w:t>
            </w:r>
            <w:r>
              <w:rPr>
                <w:rFonts w:ascii="Arial" w:hAnsi="Arial" w:cs="Arial"/>
                <w:sz w:val="17"/>
                <w:szCs w:val="17"/>
              </w:rPr>
              <w:t>.  It is likely that an encumbrance will have to be lifted by satisfying other conditions, e.g. submission of satisfactory reflective essay to allow re-enrolment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0D6EE454" w14:textId="77777777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 xml:space="preserve">Lodge application with Admission in accordance with </w:t>
            </w:r>
            <w:hyperlink r:id="rId28" w:history="1">
              <w:r w:rsidRPr="00D308E0">
                <w:rPr>
                  <w:rStyle w:val="Hyperlink"/>
                  <w:rFonts w:ascii="Arial" w:hAnsi="Arial" w:cs="Arial"/>
                  <w:sz w:val="17"/>
                  <w:szCs w:val="17"/>
                  <w:lang w:eastAsia="en-AU"/>
                </w:rPr>
                <w:t>University Policy on Admission - Coursework (UP16/5)</w:t>
              </w:r>
            </w:hyperlink>
            <w:r w:rsidRPr="00D308E0">
              <w:rPr>
                <w:rFonts w:ascii="Arial" w:hAnsi="Arial" w:cs="Arial"/>
                <w:sz w:val="17"/>
                <w:szCs w:val="17"/>
              </w:rPr>
              <w:t xml:space="preserve"> (competitive process)</w:t>
            </w:r>
          </w:p>
          <w:p w14:paraId="74D2BD83" w14:textId="04C0E8D2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HDR students lodge application in</w:t>
            </w:r>
            <w:r w:rsidRPr="00901D09">
              <w:rPr>
                <w:rFonts w:ascii="Arial" w:hAnsi="Arial" w:cs="Arial"/>
                <w:sz w:val="17"/>
                <w:szCs w:val="17"/>
              </w:rPr>
              <w:t xml:space="preserve"> accordance with the</w:t>
            </w:r>
            <w:r>
              <w:rPr>
                <w:rFonts w:ascii="Arial" w:hAnsi="Arial" w:cs="Arial"/>
                <w:sz w:val="17"/>
                <w:szCs w:val="17"/>
              </w:rPr>
              <w:t xml:space="preserve"> standard application process for the course</w:t>
            </w:r>
          </w:p>
        </w:tc>
      </w:tr>
      <w:tr w:rsidR="00560D90" w:rsidRPr="00D308E0" w14:paraId="5089597F" w14:textId="77777777" w:rsidTr="00031F52">
        <w:trPr>
          <w:trHeight w:val="585"/>
        </w:trPr>
        <w:tc>
          <w:tcPr>
            <w:tcW w:w="2825" w:type="dxa"/>
            <w:vMerge/>
            <w:shd w:val="clear" w:color="auto" w:fill="DBE5F1" w:themeFill="accent1" w:themeFillTint="33"/>
          </w:tcPr>
          <w:p w14:paraId="6BA328E7" w14:textId="77777777" w:rsidR="00560D90" w:rsidRPr="00D308E0" w:rsidRDefault="00560D90" w:rsidP="00D653F1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6D6509DF" w14:textId="28DD3044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shd w:val="clear" w:color="auto" w:fill="DBE5F1" w:themeFill="accent1" w:themeFillTint="33"/>
          </w:tcPr>
          <w:p w14:paraId="5B53E6F5" w14:textId="78553D77" w:rsidR="00560D90" w:rsidRPr="007B31FB" w:rsidRDefault="00560D90" w:rsidP="00D653F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Not fit to study</w:t>
            </w:r>
          </w:p>
          <w:p w14:paraId="0DD92D41" w14:textId="39085126" w:rsidR="00560D90" w:rsidRPr="006C416F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41" w:type="dxa"/>
            <w:shd w:val="clear" w:color="auto" w:fill="DBE5F1" w:themeFill="accent1" w:themeFillTint="33"/>
          </w:tcPr>
          <w:p w14:paraId="7AC57DB7" w14:textId="6211257A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 xml:space="preserve">Excluded  for a period of </w:t>
            </w:r>
            <w:r>
              <w:rPr>
                <w:rFonts w:ascii="Arial" w:hAnsi="Arial" w:cs="Arial"/>
                <w:sz w:val="17"/>
                <w:szCs w:val="17"/>
              </w:rPr>
              <w:t xml:space="preserve">up to </w:t>
            </w:r>
            <w:r w:rsidRPr="00D308E0">
              <w:rPr>
                <w:rFonts w:ascii="Arial" w:hAnsi="Arial" w:cs="Arial"/>
                <w:sz w:val="17"/>
                <w:szCs w:val="17"/>
              </w:rPr>
              <w:t>three years</w:t>
            </w:r>
          </w:p>
          <w:p w14:paraId="5FA9C96A" w14:textId="77777777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45" w:type="dxa"/>
            <w:shd w:val="clear" w:color="auto" w:fill="DBE5F1" w:themeFill="accent1" w:themeFillTint="33"/>
          </w:tcPr>
          <w:p w14:paraId="0F90C7CC" w14:textId="521D9143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5575FA">
              <w:rPr>
                <w:rFonts w:ascii="Arial" w:hAnsi="Arial" w:cs="Arial"/>
                <w:sz w:val="17"/>
                <w:szCs w:val="17"/>
              </w:rPr>
              <w:t>After three years the student may apply for re-admission, in which student must demonstrate, to the satisfaction of the University, fitness to study</w:t>
            </w:r>
          </w:p>
          <w:p w14:paraId="0FA0C732" w14:textId="77777777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3" w:type="dxa"/>
            <w:shd w:val="clear" w:color="auto" w:fill="DBE5F1" w:themeFill="accent1" w:themeFillTint="33"/>
          </w:tcPr>
          <w:p w14:paraId="6A81D6FF" w14:textId="77777777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 xml:space="preserve">Lodge application with Admission in accordance with </w:t>
            </w:r>
            <w:hyperlink r:id="rId29" w:history="1">
              <w:r w:rsidRPr="00D308E0">
                <w:rPr>
                  <w:rStyle w:val="Hyperlink"/>
                  <w:rFonts w:ascii="Arial" w:hAnsi="Arial" w:cs="Arial"/>
                  <w:sz w:val="17"/>
                  <w:szCs w:val="17"/>
                  <w:lang w:eastAsia="en-AU"/>
                </w:rPr>
                <w:t>University Policy on Admission - Coursework (UP16/5)</w:t>
              </w:r>
            </w:hyperlink>
          </w:p>
          <w:p w14:paraId="3A4A25B3" w14:textId="77777777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sz w:val="17"/>
                <w:szCs w:val="17"/>
              </w:rPr>
              <w:t>(competitive process)</w:t>
            </w:r>
          </w:p>
          <w:p w14:paraId="44F9FA27" w14:textId="45F467C8" w:rsidR="00560D90" w:rsidRPr="00D308E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HDR students lodge application in</w:t>
            </w:r>
            <w:r w:rsidRPr="00901D09">
              <w:rPr>
                <w:rFonts w:ascii="Arial" w:hAnsi="Arial" w:cs="Arial"/>
                <w:sz w:val="17"/>
                <w:szCs w:val="17"/>
              </w:rPr>
              <w:t xml:space="preserve"> accordance with the</w:t>
            </w:r>
            <w:r>
              <w:rPr>
                <w:rFonts w:ascii="Arial" w:hAnsi="Arial" w:cs="Arial"/>
                <w:sz w:val="17"/>
                <w:szCs w:val="17"/>
              </w:rPr>
              <w:t xml:space="preserve"> standard application process for the course</w:t>
            </w:r>
          </w:p>
        </w:tc>
      </w:tr>
      <w:tr w:rsidR="00560D90" w:rsidRPr="00D308E0" w14:paraId="533833D7" w14:textId="77777777" w:rsidTr="00031F52">
        <w:tc>
          <w:tcPr>
            <w:tcW w:w="2825" w:type="dxa"/>
          </w:tcPr>
          <w:p w14:paraId="758B3EA2" w14:textId="77777777" w:rsidR="00560D90" w:rsidRPr="00D308E0" w:rsidRDefault="00560D90" w:rsidP="00D653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43316E">
              <w:rPr>
                <w:rFonts w:ascii="Arial" w:hAnsi="Arial" w:cs="Arial"/>
                <w:b/>
                <w:sz w:val="17"/>
                <w:szCs w:val="17"/>
              </w:rPr>
              <w:t>Expulsion</w:t>
            </w:r>
            <w:r w:rsidRPr="00D308E0">
              <w:rPr>
                <w:rFonts w:ascii="Arial" w:hAnsi="Arial" w:cs="Arial"/>
                <w:sz w:val="17"/>
                <w:szCs w:val="17"/>
              </w:rPr>
              <w:t xml:space="preserve"> – student is expelled from the University indefinitely unless permitted by SDVC</w:t>
            </w:r>
          </w:p>
          <w:p w14:paraId="79EEBCF1" w14:textId="77777777" w:rsidR="00560D90" w:rsidRPr="00375BBC" w:rsidDel="00375BBC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</w:tcPr>
          <w:p w14:paraId="07C853BE" w14:textId="62F11EBA" w:rsidR="00560D90" w:rsidRPr="0043316E" w:rsidRDefault="00560D90" w:rsidP="00D653F1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3316E">
              <w:rPr>
                <w:rFonts w:ascii="Arial" w:hAnsi="Arial" w:cs="Arial"/>
                <w:b/>
                <w:sz w:val="17"/>
                <w:szCs w:val="17"/>
              </w:rPr>
              <w:t>The Institution</w:t>
            </w:r>
          </w:p>
          <w:p w14:paraId="56D35F90" w14:textId="2F0FAF64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</w:tcPr>
          <w:p w14:paraId="40F43249" w14:textId="01A19933" w:rsidR="00560D90" w:rsidRPr="00FA7E46" w:rsidRDefault="00560D90" w:rsidP="00D653F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7"/>
                <w:szCs w:val="17"/>
              </w:rPr>
            </w:pPr>
            <w:r w:rsidRPr="00FA7E46">
              <w:rPr>
                <w:rFonts w:ascii="Arial" w:hAnsi="Arial" w:cs="Arial"/>
                <w:sz w:val="17"/>
                <w:szCs w:val="17"/>
              </w:rPr>
              <w:t>Misconduct</w:t>
            </w:r>
          </w:p>
        </w:tc>
        <w:tc>
          <w:tcPr>
            <w:tcW w:w="4741" w:type="dxa"/>
          </w:tcPr>
          <w:p w14:paraId="7339E4C5" w14:textId="049CFC0E" w:rsidR="00560D90" w:rsidRPr="00391CC4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 student’s enrolment and all rights and privileges as a student of the University are cancelled.  </w:t>
            </w:r>
          </w:p>
        </w:tc>
        <w:tc>
          <w:tcPr>
            <w:tcW w:w="5245" w:type="dxa"/>
          </w:tcPr>
          <w:p w14:paraId="1B2B4C01" w14:textId="3975A87F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Student is not permitted to re-enrol except with the permission of the Senior Deputy Vice-Chancellor (4.(5) of the Regulations.</w:t>
            </w:r>
          </w:p>
        </w:tc>
        <w:tc>
          <w:tcPr>
            <w:tcW w:w="5103" w:type="dxa"/>
          </w:tcPr>
          <w:p w14:paraId="5753A8D6" w14:textId="39EE7DB1" w:rsidR="00560D90" w:rsidRDefault="00560D90" w:rsidP="00D653F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Senior Deputy Vice-Chancellor.</w:t>
            </w:r>
          </w:p>
        </w:tc>
      </w:tr>
    </w:tbl>
    <w:p w14:paraId="0C349003" w14:textId="77777777" w:rsidR="002B7543" w:rsidRDefault="002B7543">
      <w:r>
        <w:br w:type="page"/>
      </w:r>
    </w:p>
    <w:tbl>
      <w:tblPr>
        <w:tblStyle w:val="TableGrid"/>
        <w:tblW w:w="22539" w:type="dxa"/>
        <w:tblInd w:w="-601" w:type="dxa"/>
        <w:tblLook w:val="04A0" w:firstRow="1" w:lastRow="0" w:firstColumn="1" w:lastColumn="0" w:noHBand="0" w:noVBand="1"/>
      </w:tblPr>
      <w:tblGrid>
        <w:gridCol w:w="2825"/>
        <w:gridCol w:w="1095"/>
        <w:gridCol w:w="3105"/>
        <w:gridCol w:w="4232"/>
        <w:gridCol w:w="3667"/>
        <w:gridCol w:w="3807"/>
        <w:gridCol w:w="3808"/>
      </w:tblGrid>
      <w:tr w:rsidR="002B7543" w:rsidRPr="00D308E0" w14:paraId="2071B14E" w14:textId="77777777" w:rsidTr="00AC47C9">
        <w:tc>
          <w:tcPr>
            <w:tcW w:w="2825" w:type="dxa"/>
            <w:shd w:val="clear" w:color="auto" w:fill="BFBFBF" w:themeFill="background1" w:themeFillShade="BF"/>
          </w:tcPr>
          <w:p w14:paraId="257F659A" w14:textId="66A92A3B" w:rsidR="002B7543" w:rsidRPr="0043316E" w:rsidRDefault="002B7543" w:rsidP="002B7543">
            <w:pPr>
              <w:pStyle w:val="ListParagraph"/>
              <w:ind w:left="360"/>
              <w:rPr>
                <w:rFonts w:ascii="Arial" w:hAnsi="Arial" w:cs="Arial"/>
                <w:b/>
                <w:sz w:val="17"/>
                <w:szCs w:val="17"/>
              </w:rPr>
            </w:pPr>
            <w:r w:rsidRPr="00D308E0">
              <w:rPr>
                <w:rFonts w:ascii="Arial" w:hAnsi="Arial" w:cs="Arial"/>
                <w:b/>
                <w:sz w:val="17"/>
                <w:szCs w:val="17"/>
              </w:rPr>
              <w:lastRenderedPageBreak/>
              <w:t>University Decision affecting student enrolment status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14:paraId="23698B3B" w14:textId="02C6087B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b/>
                <w:sz w:val="17"/>
                <w:szCs w:val="17"/>
              </w:rPr>
              <w:t xml:space="preserve">Applied at the level of </w:t>
            </w:r>
          </w:p>
        </w:tc>
        <w:tc>
          <w:tcPr>
            <w:tcW w:w="3105" w:type="dxa"/>
            <w:shd w:val="clear" w:color="auto" w:fill="BFBFBF" w:themeFill="background1" w:themeFillShade="BF"/>
          </w:tcPr>
          <w:p w14:paraId="230F1873" w14:textId="02401182" w:rsidR="002B7543" w:rsidRDefault="002B7543" w:rsidP="002B7543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  <w:r w:rsidRPr="00D308E0">
              <w:rPr>
                <w:rFonts w:ascii="Arial" w:hAnsi="Arial" w:cs="Arial"/>
                <w:b/>
                <w:sz w:val="17"/>
                <w:szCs w:val="17"/>
              </w:rPr>
              <w:t>Grounds</w:t>
            </w:r>
          </w:p>
        </w:tc>
        <w:tc>
          <w:tcPr>
            <w:tcW w:w="4232" w:type="dxa"/>
            <w:shd w:val="clear" w:color="auto" w:fill="BFBFBF" w:themeFill="background1" w:themeFillShade="BF"/>
          </w:tcPr>
          <w:p w14:paraId="1529A83B" w14:textId="6EEC4BE4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Condition(s) imposed as a result of the 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  <w:t>University Decision</w:t>
            </w:r>
          </w:p>
        </w:tc>
        <w:tc>
          <w:tcPr>
            <w:tcW w:w="3667" w:type="dxa"/>
            <w:shd w:val="clear" w:color="auto" w:fill="BFBFBF" w:themeFill="background1" w:themeFillShade="BF"/>
          </w:tcPr>
          <w:p w14:paraId="7A27989A" w14:textId="35E7666C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Condition(s) to be met </w:t>
            </w:r>
            <w:r w:rsidRPr="00873F2B">
              <w:rPr>
                <w:rFonts w:ascii="Arial" w:hAnsi="Arial" w:cs="Arial"/>
                <w:b/>
                <w:sz w:val="17"/>
                <w:szCs w:val="17"/>
              </w:rPr>
              <w:t>to lift the encumbrance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807" w:type="dxa"/>
            <w:shd w:val="clear" w:color="auto" w:fill="BFBFBF" w:themeFill="background1" w:themeFillShade="BF"/>
          </w:tcPr>
          <w:p w14:paraId="5C163C7C" w14:textId="25CB36D1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Where to l</w:t>
            </w:r>
            <w:r w:rsidRPr="00D308E0">
              <w:rPr>
                <w:rFonts w:ascii="Arial" w:hAnsi="Arial" w:cs="Arial"/>
                <w:b/>
                <w:sz w:val="17"/>
                <w:szCs w:val="17"/>
              </w:rPr>
              <w:t xml:space="preserve">odge application </w:t>
            </w:r>
            <w:r w:rsidRPr="00873F2B">
              <w:rPr>
                <w:rFonts w:ascii="Arial" w:hAnsi="Arial" w:cs="Arial"/>
                <w:b/>
                <w:sz w:val="17"/>
                <w:szCs w:val="17"/>
              </w:rPr>
              <w:t>to lift the encumbrance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D308E0">
              <w:rPr>
                <w:rFonts w:ascii="Arial" w:hAnsi="Arial" w:cs="Arial"/>
                <w:b/>
                <w:sz w:val="17"/>
                <w:szCs w:val="17"/>
              </w:rPr>
              <w:t>(where relevant)</w:t>
            </w:r>
          </w:p>
        </w:tc>
        <w:tc>
          <w:tcPr>
            <w:tcW w:w="3808" w:type="dxa"/>
            <w:shd w:val="clear" w:color="auto" w:fill="BFBFBF" w:themeFill="background1" w:themeFillShade="BF"/>
          </w:tcPr>
          <w:p w14:paraId="2D7756FD" w14:textId="77777777" w:rsidR="002B7543" w:rsidRPr="00D308E0" w:rsidRDefault="002B7543" w:rsidP="002B754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308E0">
              <w:rPr>
                <w:rFonts w:ascii="Arial" w:hAnsi="Arial" w:cs="Arial"/>
                <w:b/>
                <w:sz w:val="17"/>
                <w:szCs w:val="17"/>
              </w:rPr>
              <w:t>N</w:t>
            </w:r>
            <w:r>
              <w:rPr>
                <w:rFonts w:ascii="Arial" w:hAnsi="Arial" w:cs="Arial"/>
                <w:b/>
                <w:sz w:val="17"/>
                <w:szCs w:val="17"/>
              </w:rPr>
              <w:t>otes</w:t>
            </w:r>
            <w:r w:rsidRPr="00D308E0">
              <w:rPr>
                <w:rFonts w:ascii="Arial" w:hAnsi="Arial" w:cs="Arial"/>
                <w:b/>
                <w:sz w:val="17"/>
                <w:szCs w:val="17"/>
              </w:rPr>
              <w:t xml:space="preserve"> (if any and where relevant)</w:t>
            </w:r>
          </w:p>
          <w:p w14:paraId="5C1B5AA7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B7543" w:rsidRPr="00D308E0" w14:paraId="2295A6AB" w14:textId="77777777" w:rsidTr="00D653F1">
        <w:tc>
          <w:tcPr>
            <w:tcW w:w="2825" w:type="dxa"/>
            <w:vMerge w:val="restart"/>
            <w:shd w:val="clear" w:color="auto" w:fill="DBE5F1" w:themeFill="accent1" w:themeFillTint="33"/>
          </w:tcPr>
          <w:p w14:paraId="7F054EB1" w14:textId="3D6422A7" w:rsidR="002B7543" w:rsidRPr="00D308E0" w:rsidRDefault="002B7543" w:rsidP="002B75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43316E">
              <w:rPr>
                <w:rFonts w:ascii="Arial" w:hAnsi="Arial" w:cs="Arial"/>
                <w:b/>
                <w:sz w:val="17"/>
                <w:szCs w:val="17"/>
              </w:rPr>
              <w:t>Encumbrance</w:t>
            </w:r>
            <w:r w:rsidRPr="00D308E0">
              <w:rPr>
                <w:rFonts w:ascii="Arial" w:hAnsi="Arial" w:cs="Arial"/>
                <w:sz w:val="17"/>
                <w:szCs w:val="17"/>
              </w:rPr>
              <w:t xml:space="preserve">– temporary </w:t>
            </w:r>
            <w:r>
              <w:rPr>
                <w:rFonts w:ascii="Arial" w:hAnsi="Arial" w:cs="Arial"/>
                <w:sz w:val="17"/>
                <w:szCs w:val="17"/>
              </w:rPr>
              <w:t xml:space="preserve">or </w:t>
            </w:r>
            <w:r w:rsidRPr="00D308E0">
              <w:rPr>
                <w:rFonts w:ascii="Arial" w:hAnsi="Arial" w:cs="Arial"/>
                <w:sz w:val="17"/>
                <w:szCs w:val="17"/>
              </w:rPr>
              <w:t xml:space="preserve">permanent </w:t>
            </w:r>
            <w:r>
              <w:rPr>
                <w:rFonts w:ascii="Arial" w:hAnsi="Arial" w:cs="Arial"/>
                <w:sz w:val="17"/>
                <w:szCs w:val="17"/>
              </w:rPr>
              <w:t xml:space="preserve">restriction or condition </w:t>
            </w:r>
            <w:r w:rsidRPr="00D308E0">
              <w:rPr>
                <w:rFonts w:ascii="Arial" w:hAnsi="Arial" w:cs="Arial"/>
                <w:sz w:val="17"/>
                <w:szCs w:val="17"/>
              </w:rPr>
              <w:t xml:space="preserve">that </w:t>
            </w:r>
            <w:r>
              <w:rPr>
                <w:rFonts w:ascii="Arial" w:hAnsi="Arial" w:cs="Arial"/>
                <w:sz w:val="17"/>
                <w:szCs w:val="17"/>
              </w:rPr>
              <w:t>impacts on a student’s admission, enrolment or rights as a student of the University</w:t>
            </w:r>
          </w:p>
          <w:p w14:paraId="7861B949" w14:textId="77777777" w:rsidR="002B7543" w:rsidRDefault="002B7543" w:rsidP="002B7543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 w:val="restart"/>
            <w:shd w:val="clear" w:color="auto" w:fill="DBE5F1" w:themeFill="accent1" w:themeFillTint="33"/>
          </w:tcPr>
          <w:p w14:paraId="580E1310" w14:textId="1985F4C8" w:rsidR="002B7543" w:rsidRPr="002B7543" w:rsidRDefault="002B7543" w:rsidP="002B7543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A u</w:t>
            </w:r>
            <w:r w:rsidRPr="002B7543">
              <w:rPr>
                <w:rFonts w:ascii="Arial" w:hAnsi="Arial" w:cs="Arial"/>
                <w:b/>
                <w:sz w:val="17"/>
                <w:szCs w:val="17"/>
              </w:rPr>
              <w:t>nit</w:t>
            </w:r>
          </w:p>
        </w:tc>
        <w:tc>
          <w:tcPr>
            <w:tcW w:w="3105" w:type="dxa"/>
            <w:shd w:val="clear" w:color="auto" w:fill="DBE5F1" w:themeFill="accent1" w:themeFillTint="33"/>
          </w:tcPr>
          <w:p w14:paraId="7C72D1B7" w14:textId="4F4E8C6A" w:rsidR="002B7543" w:rsidRDefault="002B7543" w:rsidP="002B754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Academic </w:t>
            </w:r>
            <w:r w:rsidR="00450B09">
              <w:rPr>
                <w:rFonts w:ascii="Arial" w:hAnsi="Arial" w:cs="Arial"/>
                <w:sz w:val="17"/>
                <w:szCs w:val="17"/>
              </w:rPr>
              <w:t>p</w:t>
            </w:r>
            <w:r>
              <w:rPr>
                <w:rFonts w:ascii="Arial" w:hAnsi="Arial" w:cs="Arial"/>
                <w:sz w:val="17"/>
                <w:szCs w:val="17"/>
              </w:rPr>
              <w:t>erformance – a student who does not comply with attendance requirements or meet standards of a unit (see 3.2 of Academic Progress policy)</w:t>
            </w:r>
          </w:p>
          <w:p w14:paraId="2EFE3C3B" w14:textId="463E876E" w:rsidR="002B7543" w:rsidRDefault="002B7543" w:rsidP="002B7543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2" w:type="dxa"/>
            <w:shd w:val="clear" w:color="auto" w:fill="DBE5F1" w:themeFill="accent1" w:themeFillTint="33"/>
          </w:tcPr>
          <w:p w14:paraId="6A598117" w14:textId="6209C751" w:rsidR="002B7543" w:rsidRPr="0010005A" w:rsidRDefault="002B7543" w:rsidP="00450B0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Prohibited by the relevant </w:t>
            </w:r>
            <w:r w:rsidR="00F87694">
              <w:rPr>
                <w:rFonts w:ascii="Arial" w:hAnsi="Arial" w:cs="Arial"/>
                <w:sz w:val="17"/>
                <w:szCs w:val="17"/>
              </w:rPr>
              <w:t>school</w:t>
            </w:r>
            <w:r>
              <w:rPr>
                <w:rFonts w:ascii="Arial" w:hAnsi="Arial" w:cs="Arial"/>
                <w:sz w:val="17"/>
                <w:szCs w:val="17"/>
              </w:rPr>
              <w:t xml:space="preserve"> o</w:t>
            </w:r>
            <w:r w:rsidR="00450B09">
              <w:rPr>
                <w:rFonts w:ascii="Arial" w:hAnsi="Arial" w:cs="Arial"/>
                <w:sz w:val="17"/>
                <w:szCs w:val="17"/>
              </w:rPr>
              <w:t>r</w:t>
            </w:r>
            <w:r>
              <w:rPr>
                <w:rFonts w:ascii="Arial" w:hAnsi="Arial" w:cs="Arial"/>
                <w:sz w:val="17"/>
                <w:szCs w:val="17"/>
              </w:rPr>
              <w:t xml:space="preserve"> board from undertaking further study or examinations in the unit concerned.</w:t>
            </w:r>
          </w:p>
        </w:tc>
        <w:tc>
          <w:tcPr>
            <w:tcW w:w="3667" w:type="dxa"/>
            <w:shd w:val="clear" w:color="auto" w:fill="DBE5F1" w:themeFill="accent1" w:themeFillTint="33"/>
          </w:tcPr>
          <w:p w14:paraId="06BA5182" w14:textId="430C5CB8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7" w:type="dxa"/>
            <w:shd w:val="clear" w:color="auto" w:fill="DBE5F1" w:themeFill="accent1" w:themeFillTint="33"/>
          </w:tcPr>
          <w:p w14:paraId="34D5AF42" w14:textId="07B9C2CC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8" w:type="dxa"/>
            <w:shd w:val="clear" w:color="auto" w:fill="DBE5F1" w:themeFill="accent1" w:themeFillTint="33"/>
          </w:tcPr>
          <w:p w14:paraId="04B15850" w14:textId="2C305381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B7543" w:rsidRPr="00D308E0" w14:paraId="5B8A4F09" w14:textId="77777777" w:rsidTr="00D653F1">
        <w:tc>
          <w:tcPr>
            <w:tcW w:w="2825" w:type="dxa"/>
            <w:vMerge/>
            <w:shd w:val="clear" w:color="auto" w:fill="DBE5F1" w:themeFill="accent1" w:themeFillTint="33"/>
          </w:tcPr>
          <w:p w14:paraId="42C28F9A" w14:textId="77777777" w:rsidR="002B7543" w:rsidRDefault="002B7543" w:rsidP="002B75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3D0BF1DE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shd w:val="clear" w:color="auto" w:fill="DBE5F1" w:themeFill="accent1" w:themeFillTint="33"/>
          </w:tcPr>
          <w:p w14:paraId="0E4AB335" w14:textId="069AACA9" w:rsidR="002B7543" w:rsidRDefault="002B7543" w:rsidP="002B754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Alleged misconduct</w:t>
            </w:r>
          </w:p>
        </w:tc>
        <w:tc>
          <w:tcPr>
            <w:tcW w:w="4232" w:type="dxa"/>
            <w:shd w:val="clear" w:color="auto" w:fill="DBE5F1" w:themeFill="accent1" w:themeFillTint="33"/>
          </w:tcPr>
          <w:p w14:paraId="2FA4122F" w14:textId="2F527B7D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Preventative measures (pending outcome of disciplinary process). These are not documented and at unit-level include:</w:t>
            </w:r>
          </w:p>
          <w:p w14:paraId="7A1015F2" w14:textId="77777777" w:rsidR="002B7543" w:rsidRDefault="002B7543" w:rsidP="002B754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Required to move classes</w:t>
            </w:r>
          </w:p>
          <w:p w14:paraId="2E7DF2A5" w14:textId="66C87E65" w:rsidR="002B7543" w:rsidRDefault="002B7543" w:rsidP="002B754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Required to not attend classes or certain areas of the University</w:t>
            </w:r>
          </w:p>
          <w:p w14:paraId="34A5D9D6" w14:textId="4C3E454A" w:rsidR="002B7543" w:rsidRDefault="002B7543" w:rsidP="002B754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Required to move rooms at Uni</w:t>
            </w:r>
            <w:r w:rsidR="00AA2B5F">
              <w:rPr>
                <w:rFonts w:ascii="Arial" w:hAnsi="Arial" w:cs="Arial"/>
                <w:sz w:val="17"/>
                <w:szCs w:val="17"/>
              </w:rPr>
              <w:t xml:space="preserve">versity </w:t>
            </w:r>
            <w:r>
              <w:rPr>
                <w:rFonts w:ascii="Arial" w:hAnsi="Arial" w:cs="Arial"/>
                <w:sz w:val="17"/>
                <w:szCs w:val="17"/>
              </w:rPr>
              <w:t>Hall</w:t>
            </w:r>
          </w:p>
          <w:p w14:paraId="62C9BEC2" w14:textId="5626EDCF" w:rsidR="002B7543" w:rsidRPr="00584053" w:rsidRDefault="002B7543" w:rsidP="002B7543">
            <w:pPr>
              <w:pStyle w:val="ListParagrap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7" w:type="dxa"/>
            <w:shd w:val="clear" w:color="auto" w:fill="DBE5F1" w:themeFill="accent1" w:themeFillTint="33"/>
          </w:tcPr>
          <w:p w14:paraId="70A815C1" w14:textId="6A0499EE" w:rsidR="002B7543" w:rsidRDefault="002938BE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Expiration/fulfilment of the encumbrance or successful appeal.</w:t>
            </w:r>
          </w:p>
        </w:tc>
        <w:tc>
          <w:tcPr>
            <w:tcW w:w="3807" w:type="dxa"/>
            <w:shd w:val="clear" w:color="auto" w:fill="DBE5F1" w:themeFill="accent1" w:themeFillTint="33"/>
          </w:tcPr>
          <w:p w14:paraId="7B5781EC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8" w:type="dxa"/>
            <w:shd w:val="clear" w:color="auto" w:fill="DBE5F1" w:themeFill="accent1" w:themeFillTint="33"/>
          </w:tcPr>
          <w:p w14:paraId="672041D4" w14:textId="4449A06B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B7543" w:rsidRPr="00D308E0" w14:paraId="3D948AB9" w14:textId="77777777" w:rsidTr="00D653F1">
        <w:tc>
          <w:tcPr>
            <w:tcW w:w="2825" w:type="dxa"/>
            <w:vMerge/>
            <w:shd w:val="clear" w:color="auto" w:fill="DBE5F1" w:themeFill="accent1" w:themeFillTint="33"/>
          </w:tcPr>
          <w:p w14:paraId="5383FD66" w14:textId="59A2A4DB" w:rsidR="002B7543" w:rsidRDefault="002B7543" w:rsidP="002B75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099D1051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shd w:val="clear" w:color="auto" w:fill="DBE5F1" w:themeFill="accent1" w:themeFillTint="33"/>
          </w:tcPr>
          <w:p w14:paraId="6987BA3B" w14:textId="76DE8484" w:rsidR="002B7543" w:rsidRDefault="002B7543" w:rsidP="002B754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Misconduct</w:t>
            </w:r>
          </w:p>
        </w:tc>
        <w:tc>
          <w:tcPr>
            <w:tcW w:w="4232" w:type="dxa"/>
            <w:shd w:val="clear" w:color="auto" w:fill="DBE5F1" w:themeFill="accent1" w:themeFillTint="33"/>
          </w:tcPr>
          <w:p w14:paraId="36283AD3" w14:textId="4C8E816E" w:rsidR="002B7543" w:rsidRPr="00F133E3" w:rsidRDefault="00450B09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="002B7543" w:rsidRPr="00F133E3">
              <w:rPr>
                <w:rFonts w:ascii="Arial" w:hAnsi="Arial" w:cs="Arial"/>
                <w:sz w:val="17"/>
                <w:szCs w:val="17"/>
              </w:rPr>
              <w:t>t unit-level include:</w:t>
            </w:r>
          </w:p>
          <w:p w14:paraId="40657A15" w14:textId="77777777" w:rsidR="002B7543" w:rsidRPr="00F133E3" w:rsidRDefault="002B7543" w:rsidP="002B7543">
            <w:pPr>
              <w:numPr>
                <w:ilvl w:val="0"/>
                <w:numId w:val="15"/>
              </w:numPr>
              <w:rPr>
                <w:rFonts w:ascii="Arial" w:hAnsi="Arial" w:cs="Arial"/>
                <w:sz w:val="17"/>
                <w:szCs w:val="17"/>
              </w:rPr>
            </w:pPr>
            <w:r w:rsidRPr="00F133E3">
              <w:rPr>
                <w:rFonts w:ascii="Arial" w:hAnsi="Arial" w:cs="Arial"/>
                <w:sz w:val="17"/>
                <w:szCs w:val="17"/>
              </w:rPr>
              <w:t>Required to move classes</w:t>
            </w:r>
          </w:p>
          <w:p w14:paraId="2A30AD4F" w14:textId="294903C3" w:rsidR="002B7543" w:rsidRDefault="002B7543" w:rsidP="002B7543">
            <w:pPr>
              <w:numPr>
                <w:ilvl w:val="0"/>
                <w:numId w:val="15"/>
              </w:numPr>
              <w:rPr>
                <w:rFonts w:ascii="Arial" w:hAnsi="Arial" w:cs="Arial"/>
                <w:sz w:val="17"/>
                <w:szCs w:val="17"/>
              </w:rPr>
            </w:pPr>
            <w:r w:rsidRPr="00F133E3">
              <w:rPr>
                <w:rFonts w:ascii="Arial" w:hAnsi="Arial" w:cs="Arial"/>
                <w:sz w:val="17"/>
                <w:szCs w:val="17"/>
              </w:rPr>
              <w:t xml:space="preserve">Required to not attend classes </w:t>
            </w:r>
          </w:p>
          <w:p w14:paraId="71222AA6" w14:textId="77777777" w:rsidR="002B7543" w:rsidRDefault="002B7543" w:rsidP="002B7543">
            <w:pPr>
              <w:ind w:left="720"/>
              <w:rPr>
                <w:rFonts w:ascii="Arial" w:hAnsi="Arial" w:cs="Arial"/>
                <w:sz w:val="17"/>
                <w:szCs w:val="17"/>
              </w:rPr>
            </w:pPr>
          </w:p>
          <w:p w14:paraId="1C063303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Academic misconduct:  requirement to do further work or repeat work in the </w:t>
            </w:r>
            <w:r w:rsidRPr="00584053">
              <w:rPr>
                <w:rFonts w:ascii="Arial" w:hAnsi="Arial" w:cs="Arial"/>
                <w:b/>
                <w:sz w:val="17"/>
                <w:szCs w:val="17"/>
              </w:rPr>
              <w:t xml:space="preserve">unit </w:t>
            </w:r>
            <w:r>
              <w:rPr>
                <w:rFonts w:ascii="Arial" w:hAnsi="Arial" w:cs="Arial"/>
                <w:sz w:val="17"/>
                <w:szCs w:val="17"/>
              </w:rPr>
              <w:t>in relation to which the misconduct occurred (3.1(e) of</w:t>
            </w:r>
            <w:hyperlink r:id="rId30" w:history="1">
              <w:r w:rsidR="00E03EFB"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).</w:t>
            </w:r>
          </w:p>
          <w:p w14:paraId="17005C3A" w14:textId="12929260" w:rsidR="00E03EFB" w:rsidRDefault="00E03EFB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7" w:type="dxa"/>
            <w:shd w:val="clear" w:color="auto" w:fill="DBE5F1" w:themeFill="accent1" w:themeFillTint="33"/>
          </w:tcPr>
          <w:p w14:paraId="03DEDB0A" w14:textId="7C5528A1" w:rsidR="002B7543" w:rsidRDefault="002938BE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Expiration/fulfilment of the encumbrance or successful appeal.</w:t>
            </w:r>
          </w:p>
        </w:tc>
        <w:tc>
          <w:tcPr>
            <w:tcW w:w="3807" w:type="dxa"/>
            <w:shd w:val="clear" w:color="auto" w:fill="DBE5F1" w:themeFill="accent1" w:themeFillTint="33"/>
          </w:tcPr>
          <w:p w14:paraId="1785CA6E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8" w:type="dxa"/>
            <w:shd w:val="clear" w:color="auto" w:fill="DBE5F1" w:themeFill="accent1" w:themeFillTint="33"/>
          </w:tcPr>
          <w:p w14:paraId="02B38F7E" w14:textId="579C0C60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B7543" w:rsidRPr="00D308E0" w14:paraId="5B5589C5" w14:textId="77777777" w:rsidTr="00D653F1">
        <w:tc>
          <w:tcPr>
            <w:tcW w:w="2825" w:type="dxa"/>
            <w:vMerge/>
            <w:shd w:val="clear" w:color="auto" w:fill="DBE5F1" w:themeFill="accent1" w:themeFillTint="33"/>
          </w:tcPr>
          <w:p w14:paraId="63B0CD43" w14:textId="7A0805E1" w:rsidR="002B7543" w:rsidRDefault="002B7543" w:rsidP="002B75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shd w:val="clear" w:color="auto" w:fill="DBE5F1" w:themeFill="accent1" w:themeFillTint="33"/>
          </w:tcPr>
          <w:p w14:paraId="10BF6114" w14:textId="30D2729E" w:rsidR="002B7543" w:rsidRPr="0043316E" w:rsidRDefault="002B7543" w:rsidP="002B754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3316E">
              <w:rPr>
                <w:rFonts w:ascii="Arial" w:hAnsi="Arial" w:cs="Arial"/>
                <w:b/>
                <w:sz w:val="17"/>
                <w:szCs w:val="17"/>
              </w:rPr>
              <w:t>A course</w:t>
            </w:r>
          </w:p>
        </w:tc>
        <w:tc>
          <w:tcPr>
            <w:tcW w:w="3105" w:type="dxa"/>
            <w:shd w:val="clear" w:color="auto" w:fill="DBE5F1" w:themeFill="accent1" w:themeFillTint="33"/>
          </w:tcPr>
          <w:p w14:paraId="18FBF8A9" w14:textId="1483E69A" w:rsidR="002B7543" w:rsidRDefault="002B7543" w:rsidP="002B754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Misconduct</w:t>
            </w:r>
          </w:p>
        </w:tc>
        <w:tc>
          <w:tcPr>
            <w:tcW w:w="4232" w:type="dxa"/>
            <w:shd w:val="clear" w:color="auto" w:fill="DBE5F1" w:themeFill="accent1" w:themeFillTint="33"/>
          </w:tcPr>
          <w:p w14:paraId="0102DF55" w14:textId="625A9412" w:rsidR="002B7543" w:rsidRDefault="00450B09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="002B7543">
              <w:rPr>
                <w:rFonts w:ascii="Arial" w:hAnsi="Arial" w:cs="Arial"/>
                <w:sz w:val="17"/>
                <w:szCs w:val="17"/>
              </w:rPr>
              <w:t>t course-level include:</w:t>
            </w:r>
          </w:p>
          <w:p w14:paraId="0064F5FF" w14:textId="7550AA4B" w:rsidR="002B7543" w:rsidRDefault="002B7543" w:rsidP="002B7543">
            <w:pPr>
              <w:numPr>
                <w:ilvl w:val="0"/>
                <w:numId w:val="15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Required to complete professional training </w:t>
            </w:r>
          </w:p>
          <w:p w14:paraId="063AEBF5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  <w:p w14:paraId="71EA813D" w14:textId="607F54B0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Academic misconduct: requirement to do further work or repeat work in the </w:t>
            </w:r>
            <w:r w:rsidRPr="00584053">
              <w:rPr>
                <w:rFonts w:ascii="Arial" w:hAnsi="Arial" w:cs="Arial"/>
                <w:b/>
                <w:sz w:val="17"/>
                <w:szCs w:val="17"/>
              </w:rPr>
              <w:t>course</w:t>
            </w:r>
            <w:r>
              <w:rPr>
                <w:rFonts w:ascii="Arial" w:hAnsi="Arial" w:cs="Arial"/>
                <w:sz w:val="17"/>
                <w:szCs w:val="17"/>
              </w:rPr>
              <w:t xml:space="preserve"> in relation to which the misconduct occurred (3.1(e) of the </w:t>
            </w:r>
            <w:hyperlink r:id="rId31" w:history="1">
              <w:r w:rsidR="00450B09"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157F2E4F" w14:textId="63593F9E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7" w:type="dxa"/>
            <w:shd w:val="clear" w:color="auto" w:fill="DBE5F1" w:themeFill="accent1" w:themeFillTint="33"/>
          </w:tcPr>
          <w:p w14:paraId="4B20480B" w14:textId="0851DF04" w:rsidR="002B7543" w:rsidRDefault="002938BE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Expiration/fulfilment of the encumbrance or successful appeal.</w:t>
            </w:r>
          </w:p>
        </w:tc>
        <w:tc>
          <w:tcPr>
            <w:tcW w:w="3807" w:type="dxa"/>
            <w:shd w:val="clear" w:color="auto" w:fill="DBE5F1" w:themeFill="accent1" w:themeFillTint="33"/>
          </w:tcPr>
          <w:p w14:paraId="3078A271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8" w:type="dxa"/>
            <w:shd w:val="clear" w:color="auto" w:fill="DBE5F1" w:themeFill="accent1" w:themeFillTint="33"/>
          </w:tcPr>
          <w:p w14:paraId="1EFC97BA" w14:textId="5BCDE34F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B7543" w:rsidRPr="00D308E0" w14:paraId="7A8AE369" w14:textId="77777777" w:rsidTr="00D653F1">
        <w:tc>
          <w:tcPr>
            <w:tcW w:w="2825" w:type="dxa"/>
            <w:vMerge/>
            <w:shd w:val="clear" w:color="auto" w:fill="DBE5F1" w:themeFill="accent1" w:themeFillTint="33"/>
          </w:tcPr>
          <w:p w14:paraId="4265C6EE" w14:textId="5D2EB197" w:rsidR="002B7543" w:rsidRPr="00D308E0" w:rsidRDefault="002B7543" w:rsidP="002B7543">
            <w:pPr>
              <w:pStyle w:val="ListParagraph"/>
              <w:ind w:left="360"/>
            </w:pPr>
          </w:p>
        </w:tc>
        <w:tc>
          <w:tcPr>
            <w:tcW w:w="1095" w:type="dxa"/>
            <w:vMerge w:val="restart"/>
            <w:shd w:val="clear" w:color="auto" w:fill="DBE5F1" w:themeFill="accent1" w:themeFillTint="33"/>
          </w:tcPr>
          <w:p w14:paraId="558D638A" w14:textId="35788431" w:rsidR="002B7543" w:rsidRPr="0043316E" w:rsidRDefault="002B7543" w:rsidP="002B754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3316E">
              <w:rPr>
                <w:rFonts w:ascii="Arial" w:hAnsi="Arial" w:cs="Arial"/>
                <w:b/>
                <w:sz w:val="17"/>
                <w:szCs w:val="17"/>
              </w:rPr>
              <w:t>The Institution</w:t>
            </w:r>
          </w:p>
        </w:tc>
        <w:tc>
          <w:tcPr>
            <w:tcW w:w="3105" w:type="dxa"/>
            <w:shd w:val="clear" w:color="auto" w:fill="DBE5F1" w:themeFill="accent1" w:themeFillTint="33"/>
          </w:tcPr>
          <w:p w14:paraId="4EACBB4C" w14:textId="44EB13E4" w:rsidR="002B7543" w:rsidRDefault="002B7543" w:rsidP="002B75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Alleged </w:t>
            </w:r>
            <w:r w:rsidR="00450B09">
              <w:rPr>
                <w:rFonts w:ascii="Arial" w:hAnsi="Arial" w:cs="Arial"/>
                <w:sz w:val="17"/>
                <w:szCs w:val="17"/>
              </w:rPr>
              <w:t>m</w:t>
            </w:r>
            <w:r>
              <w:rPr>
                <w:rFonts w:ascii="Arial" w:hAnsi="Arial" w:cs="Arial"/>
                <w:sz w:val="17"/>
                <w:szCs w:val="17"/>
              </w:rPr>
              <w:t xml:space="preserve">isconduct </w:t>
            </w:r>
          </w:p>
          <w:p w14:paraId="2C307F20" w14:textId="539A3032" w:rsidR="002B7543" w:rsidRDefault="002B7543" w:rsidP="002B7543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(necessary for the protection of other members of the University)</w:t>
            </w:r>
          </w:p>
        </w:tc>
        <w:tc>
          <w:tcPr>
            <w:tcW w:w="4232" w:type="dxa"/>
            <w:shd w:val="clear" w:color="auto" w:fill="DBE5F1" w:themeFill="accent1" w:themeFillTint="33"/>
          </w:tcPr>
          <w:p w14:paraId="5D37C2FB" w14:textId="0DB880DC" w:rsidR="002B7543" w:rsidRDefault="002938BE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Restrictions contained in </w:t>
            </w:r>
            <w:r w:rsidR="002B7543">
              <w:rPr>
                <w:rFonts w:ascii="Arial" w:hAnsi="Arial" w:cs="Arial"/>
                <w:sz w:val="17"/>
                <w:szCs w:val="17"/>
              </w:rPr>
              <w:t xml:space="preserve">3.1(c) of the Regulations </w:t>
            </w:r>
            <w:r>
              <w:rPr>
                <w:rFonts w:ascii="Arial" w:hAnsi="Arial" w:cs="Arial"/>
                <w:sz w:val="17"/>
                <w:szCs w:val="17"/>
              </w:rPr>
              <w:t>pending a disciplinary hearing or trial - imposed by the VC under 27. (5)</w:t>
            </w:r>
            <w:r w:rsidR="00E03EFB">
              <w:rPr>
                <w:rFonts w:ascii="Arial" w:hAnsi="Arial" w:cs="Arial"/>
                <w:sz w:val="17"/>
                <w:szCs w:val="17"/>
              </w:rPr>
              <w:t xml:space="preserve"> of </w:t>
            </w:r>
            <w:hyperlink r:id="rId32" w:history="1">
              <w:r w:rsidR="00E03EFB"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5B89A7DE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7" w:type="dxa"/>
            <w:shd w:val="clear" w:color="auto" w:fill="DBE5F1" w:themeFill="accent1" w:themeFillTint="33"/>
          </w:tcPr>
          <w:p w14:paraId="4AF9E729" w14:textId="04889836" w:rsidR="002B7543" w:rsidRDefault="002938BE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Nil</w:t>
            </w:r>
          </w:p>
        </w:tc>
        <w:tc>
          <w:tcPr>
            <w:tcW w:w="3807" w:type="dxa"/>
            <w:shd w:val="clear" w:color="auto" w:fill="DBE5F1" w:themeFill="accent1" w:themeFillTint="33"/>
          </w:tcPr>
          <w:p w14:paraId="7025DEDE" w14:textId="0743F5C2" w:rsidR="002B7543" w:rsidRDefault="002938BE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808" w:type="dxa"/>
            <w:shd w:val="clear" w:color="auto" w:fill="DBE5F1" w:themeFill="accent1" w:themeFillTint="33"/>
          </w:tcPr>
          <w:p w14:paraId="77E3D5B8" w14:textId="4D46816D" w:rsidR="002938BE" w:rsidRPr="00D308E0" w:rsidRDefault="002938BE" w:rsidP="002938B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B7543" w:rsidRPr="00D308E0" w14:paraId="65BC5AEC" w14:textId="77777777" w:rsidTr="00D653F1">
        <w:tc>
          <w:tcPr>
            <w:tcW w:w="2825" w:type="dxa"/>
            <w:vMerge/>
            <w:shd w:val="clear" w:color="auto" w:fill="DBE5F1" w:themeFill="accent1" w:themeFillTint="33"/>
          </w:tcPr>
          <w:p w14:paraId="2A919ED4" w14:textId="45C50E45" w:rsidR="002B7543" w:rsidRPr="00D308E0" w:rsidRDefault="002B7543" w:rsidP="002B7543">
            <w:pPr>
              <w:pStyle w:val="ListParagraph"/>
              <w:ind w:left="360"/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2F86F9C4" w14:textId="77777777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vMerge w:val="restart"/>
            <w:shd w:val="clear" w:color="auto" w:fill="DBE5F1" w:themeFill="accent1" w:themeFillTint="33"/>
          </w:tcPr>
          <w:p w14:paraId="1CCFAB94" w14:textId="77777777" w:rsidR="002B7543" w:rsidRDefault="002B7543" w:rsidP="002B75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Misconduct</w:t>
            </w:r>
          </w:p>
          <w:p w14:paraId="6828AA5E" w14:textId="77777777" w:rsidR="002B7543" w:rsidRDefault="002B7543" w:rsidP="002B7543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2" w:type="dxa"/>
            <w:shd w:val="clear" w:color="auto" w:fill="DBE5F1" w:themeFill="accent1" w:themeFillTint="33"/>
          </w:tcPr>
          <w:p w14:paraId="3481DA5E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Fines (3.1(a) of the </w:t>
            </w:r>
            <w:hyperlink r:id="rId33" w:history="1">
              <w:r w:rsidR="00450B09"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</w:p>
          <w:p w14:paraId="7B1CD400" w14:textId="34121379" w:rsidR="00450B09" w:rsidRDefault="00450B09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7" w:type="dxa"/>
            <w:shd w:val="clear" w:color="auto" w:fill="DBE5F1" w:themeFill="accent1" w:themeFillTint="33"/>
          </w:tcPr>
          <w:p w14:paraId="1BFE0DDF" w14:textId="559D56D3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Fine paid or successful appeal.</w:t>
            </w:r>
          </w:p>
        </w:tc>
        <w:tc>
          <w:tcPr>
            <w:tcW w:w="3807" w:type="dxa"/>
            <w:shd w:val="clear" w:color="auto" w:fill="DBE5F1" w:themeFill="accent1" w:themeFillTint="33"/>
          </w:tcPr>
          <w:p w14:paraId="7C66DFE0" w14:textId="3082B259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Appeals – as per </w:t>
            </w:r>
            <w:hyperlink r:id="rId34" w:history="1">
              <w:r w:rsidR="00450B09"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808" w:type="dxa"/>
            <w:shd w:val="clear" w:color="auto" w:fill="DBE5F1" w:themeFill="accent1" w:themeFillTint="33"/>
          </w:tcPr>
          <w:p w14:paraId="11A7999A" w14:textId="049645F7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938BE" w:rsidRPr="00D308E0" w14:paraId="27FB2FC3" w14:textId="77777777" w:rsidTr="00D653F1">
        <w:tc>
          <w:tcPr>
            <w:tcW w:w="2825" w:type="dxa"/>
            <w:vMerge/>
            <w:shd w:val="clear" w:color="auto" w:fill="DBE5F1" w:themeFill="accent1" w:themeFillTint="33"/>
          </w:tcPr>
          <w:p w14:paraId="0959F5FD" w14:textId="77777777" w:rsidR="002938BE" w:rsidRPr="00D308E0" w:rsidRDefault="002938BE" w:rsidP="002B7543">
            <w:pPr>
              <w:pStyle w:val="ListParagraph"/>
              <w:ind w:left="360"/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5B3E9E4F" w14:textId="77777777" w:rsidR="002938BE" w:rsidRPr="00D308E0" w:rsidRDefault="002938BE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vMerge/>
            <w:shd w:val="clear" w:color="auto" w:fill="DBE5F1" w:themeFill="accent1" w:themeFillTint="33"/>
          </w:tcPr>
          <w:p w14:paraId="0C4C2DC5" w14:textId="77777777" w:rsidR="002938BE" w:rsidRPr="00D308E0" w:rsidRDefault="002938BE" w:rsidP="002B7543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2" w:type="dxa"/>
            <w:shd w:val="clear" w:color="auto" w:fill="DBE5F1" w:themeFill="accent1" w:themeFillTint="33"/>
          </w:tcPr>
          <w:p w14:paraId="2A3AA672" w14:textId="77777777" w:rsidR="002938BE" w:rsidRDefault="002938BE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Not permitted to attend classes (3.1(c)(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i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) of the </w:t>
            </w:r>
            <w:hyperlink r:id="rId35" w:history="1">
              <w:r w:rsidR="00450B09"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</w:p>
          <w:p w14:paraId="618495B6" w14:textId="273B550D" w:rsidR="00450B09" w:rsidRDefault="00450B09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7" w:type="dxa"/>
            <w:shd w:val="clear" w:color="auto" w:fill="DBE5F1" w:themeFill="accent1" w:themeFillTint="33"/>
          </w:tcPr>
          <w:p w14:paraId="36705B55" w14:textId="77777777" w:rsidR="002938BE" w:rsidRDefault="002938BE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7" w:type="dxa"/>
            <w:shd w:val="clear" w:color="auto" w:fill="DBE5F1" w:themeFill="accent1" w:themeFillTint="33"/>
          </w:tcPr>
          <w:p w14:paraId="0F6C9B28" w14:textId="77777777" w:rsidR="002938BE" w:rsidRDefault="002938BE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8" w:type="dxa"/>
            <w:shd w:val="clear" w:color="auto" w:fill="DBE5F1" w:themeFill="accent1" w:themeFillTint="33"/>
          </w:tcPr>
          <w:p w14:paraId="548907C0" w14:textId="77777777" w:rsidR="002938BE" w:rsidRDefault="002938BE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B7543" w:rsidRPr="00D308E0" w14:paraId="6BF6EDC6" w14:textId="77777777" w:rsidTr="00D653F1">
        <w:tc>
          <w:tcPr>
            <w:tcW w:w="2825" w:type="dxa"/>
            <w:vMerge/>
            <w:shd w:val="clear" w:color="auto" w:fill="DBE5F1" w:themeFill="accent1" w:themeFillTint="33"/>
          </w:tcPr>
          <w:p w14:paraId="0E55DCA6" w14:textId="77777777" w:rsidR="002B7543" w:rsidRPr="00D308E0" w:rsidRDefault="002B7543" w:rsidP="002B7543">
            <w:pPr>
              <w:pStyle w:val="ListParagraph"/>
              <w:ind w:left="360"/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53FD52E3" w14:textId="542E287C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vMerge/>
            <w:shd w:val="clear" w:color="auto" w:fill="DBE5F1" w:themeFill="accent1" w:themeFillTint="33"/>
          </w:tcPr>
          <w:p w14:paraId="3861BF9B" w14:textId="09D40174" w:rsidR="002B7543" w:rsidRPr="00D308E0" w:rsidRDefault="002B7543" w:rsidP="002B7543">
            <w:pPr>
              <w:pStyle w:val="ListParagraph"/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2" w:type="dxa"/>
            <w:shd w:val="clear" w:color="auto" w:fill="DBE5F1" w:themeFill="accent1" w:themeFillTint="33"/>
          </w:tcPr>
          <w:p w14:paraId="72530AAF" w14:textId="410540FB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Not permitted to use University facilities or parts of them (3.1(c)(ii) of the </w:t>
            </w:r>
            <w:hyperlink r:id="rId36" w:history="1">
              <w:r w:rsidR="00450B09"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</w:p>
          <w:p w14:paraId="190081CA" w14:textId="23D20516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7" w:type="dxa"/>
            <w:vMerge w:val="restart"/>
            <w:shd w:val="clear" w:color="auto" w:fill="DBE5F1" w:themeFill="accent1" w:themeFillTint="33"/>
          </w:tcPr>
          <w:p w14:paraId="437FEC1D" w14:textId="0138D522" w:rsidR="002B7543" w:rsidRPr="00D308E0" w:rsidRDefault="002938BE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Expiration/fulfilment of the encumbrance or successful appeal.</w:t>
            </w:r>
          </w:p>
        </w:tc>
        <w:tc>
          <w:tcPr>
            <w:tcW w:w="3807" w:type="dxa"/>
            <w:vMerge w:val="restart"/>
            <w:shd w:val="clear" w:color="auto" w:fill="DBE5F1" w:themeFill="accent1" w:themeFillTint="33"/>
          </w:tcPr>
          <w:p w14:paraId="1D91E430" w14:textId="366E764C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Appeals – as per </w:t>
            </w:r>
            <w:hyperlink r:id="rId37" w:history="1">
              <w:r w:rsidR="00450B09"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808" w:type="dxa"/>
            <w:vMerge w:val="restart"/>
            <w:shd w:val="clear" w:color="auto" w:fill="DBE5F1" w:themeFill="accent1" w:themeFillTint="33"/>
          </w:tcPr>
          <w:p w14:paraId="592B44B0" w14:textId="1406B64D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B7543" w:rsidRPr="00D308E0" w14:paraId="2EB4F9CB" w14:textId="77777777" w:rsidTr="00D653F1">
        <w:tc>
          <w:tcPr>
            <w:tcW w:w="2825" w:type="dxa"/>
            <w:vMerge/>
            <w:shd w:val="clear" w:color="auto" w:fill="DBE5F1" w:themeFill="accent1" w:themeFillTint="33"/>
          </w:tcPr>
          <w:p w14:paraId="7B0CBCF6" w14:textId="77777777" w:rsidR="002B7543" w:rsidRDefault="002B7543" w:rsidP="002B75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32BA2945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vMerge/>
            <w:shd w:val="clear" w:color="auto" w:fill="DBE5F1" w:themeFill="accent1" w:themeFillTint="33"/>
          </w:tcPr>
          <w:p w14:paraId="2ACE184E" w14:textId="254881E7" w:rsidR="002B7543" w:rsidRDefault="002B7543" w:rsidP="002B75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2" w:type="dxa"/>
            <w:shd w:val="clear" w:color="auto" w:fill="DBE5F1" w:themeFill="accent1" w:themeFillTint="33"/>
          </w:tcPr>
          <w:p w14:paraId="76CDD388" w14:textId="1E019344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Not permitted to attend an examination or test or any part of them (3.1(c)(iii) of the </w:t>
            </w:r>
            <w:hyperlink r:id="rId38" w:history="1">
              <w:r w:rsidR="00450B09"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</w:p>
          <w:p w14:paraId="3F8732D1" w14:textId="54493FF4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7" w:type="dxa"/>
            <w:vMerge/>
            <w:shd w:val="clear" w:color="auto" w:fill="DBE5F1" w:themeFill="accent1" w:themeFillTint="33"/>
          </w:tcPr>
          <w:p w14:paraId="40B54488" w14:textId="68A8C7B2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7" w:type="dxa"/>
            <w:vMerge/>
            <w:shd w:val="clear" w:color="auto" w:fill="DBE5F1" w:themeFill="accent1" w:themeFillTint="33"/>
          </w:tcPr>
          <w:p w14:paraId="0512EFA0" w14:textId="0A60949C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8" w:type="dxa"/>
            <w:vMerge/>
            <w:shd w:val="clear" w:color="auto" w:fill="DBE5F1" w:themeFill="accent1" w:themeFillTint="33"/>
          </w:tcPr>
          <w:p w14:paraId="427F74E9" w14:textId="77777777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B7543" w:rsidRPr="00D308E0" w14:paraId="470AB18C" w14:textId="77777777" w:rsidTr="00D653F1">
        <w:tc>
          <w:tcPr>
            <w:tcW w:w="2825" w:type="dxa"/>
            <w:vMerge/>
            <w:shd w:val="clear" w:color="auto" w:fill="DBE5F1" w:themeFill="accent1" w:themeFillTint="33"/>
          </w:tcPr>
          <w:p w14:paraId="6FDFB0D8" w14:textId="77777777" w:rsidR="002B7543" w:rsidRPr="00375BBC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73902EF9" w14:textId="77777777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vMerge/>
            <w:shd w:val="clear" w:color="auto" w:fill="DBE5F1" w:themeFill="accent1" w:themeFillTint="33"/>
          </w:tcPr>
          <w:p w14:paraId="7432563E" w14:textId="69AC4EB0" w:rsidR="002B7543" w:rsidRPr="00D308E0" w:rsidRDefault="002B7543" w:rsidP="002B75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2" w:type="dxa"/>
            <w:shd w:val="clear" w:color="auto" w:fill="DBE5F1" w:themeFill="accent1" w:themeFillTint="33"/>
          </w:tcPr>
          <w:p w14:paraId="51390144" w14:textId="4EF9202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Not entitled to the results of any examination or test or any part of them (3.1(c)(iv) of the </w:t>
            </w:r>
            <w:hyperlink r:id="rId39" w:history="1">
              <w:r w:rsidR="00450B09"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</w:p>
          <w:p w14:paraId="4A237F22" w14:textId="203DAF68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7" w:type="dxa"/>
            <w:vMerge/>
            <w:shd w:val="clear" w:color="auto" w:fill="DBE5F1" w:themeFill="accent1" w:themeFillTint="33"/>
          </w:tcPr>
          <w:p w14:paraId="494026C7" w14:textId="4D4389C6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7" w:type="dxa"/>
            <w:vMerge/>
            <w:shd w:val="clear" w:color="auto" w:fill="DBE5F1" w:themeFill="accent1" w:themeFillTint="33"/>
          </w:tcPr>
          <w:p w14:paraId="0A7A6586" w14:textId="1257322F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8" w:type="dxa"/>
            <w:vMerge/>
            <w:shd w:val="clear" w:color="auto" w:fill="DBE5F1" w:themeFill="accent1" w:themeFillTint="33"/>
          </w:tcPr>
          <w:p w14:paraId="1495848C" w14:textId="77777777" w:rsidR="002B7543" w:rsidRPr="00D308E0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B7543" w:rsidRPr="00D308E0" w14:paraId="7107AD93" w14:textId="77777777" w:rsidTr="00D653F1">
        <w:tc>
          <w:tcPr>
            <w:tcW w:w="2825" w:type="dxa"/>
            <w:vMerge/>
            <w:shd w:val="clear" w:color="auto" w:fill="DBE5F1" w:themeFill="accent1" w:themeFillTint="33"/>
          </w:tcPr>
          <w:p w14:paraId="004A14AA" w14:textId="77777777" w:rsidR="002B7543" w:rsidRDefault="002B7543" w:rsidP="002B75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35077834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vMerge/>
            <w:shd w:val="clear" w:color="auto" w:fill="DBE5F1" w:themeFill="accent1" w:themeFillTint="33"/>
          </w:tcPr>
          <w:p w14:paraId="091E5BF4" w14:textId="125392A0" w:rsidR="002B7543" w:rsidRDefault="002B7543" w:rsidP="002B75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2" w:type="dxa"/>
            <w:shd w:val="clear" w:color="auto" w:fill="DBE5F1" w:themeFill="accent1" w:themeFillTint="33"/>
          </w:tcPr>
          <w:p w14:paraId="12F26718" w14:textId="04C5F0AE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Not permitted to attend the University or any part of it (3.(c)(v) of the </w:t>
            </w:r>
            <w:hyperlink r:id="rId40" w:history="1">
              <w:r w:rsidR="00450B09"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6CBA4CBF" w14:textId="4ECCBEE6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7" w:type="dxa"/>
            <w:vMerge/>
            <w:shd w:val="clear" w:color="auto" w:fill="DBE5F1" w:themeFill="accent1" w:themeFillTint="33"/>
          </w:tcPr>
          <w:p w14:paraId="582689D2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7" w:type="dxa"/>
            <w:vMerge/>
            <w:shd w:val="clear" w:color="auto" w:fill="DBE5F1" w:themeFill="accent1" w:themeFillTint="33"/>
          </w:tcPr>
          <w:p w14:paraId="6CE0906A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8" w:type="dxa"/>
            <w:vMerge/>
            <w:shd w:val="clear" w:color="auto" w:fill="DBE5F1" w:themeFill="accent1" w:themeFillTint="33"/>
          </w:tcPr>
          <w:p w14:paraId="7E111962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B7543" w:rsidRPr="00D308E0" w14:paraId="4F5A3B31" w14:textId="77777777" w:rsidTr="00D653F1">
        <w:tc>
          <w:tcPr>
            <w:tcW w:w="2825" w:type="dxa"/>
            <w:vMerge/>
            <w:shd w:val="clear" w:color="auto" w:fill="DBE5F1" w:themeFill="accent1" w:themeFillTint="33"/>
          </w:tcPr>
          <w:p w14:paraId="5D0D760D" w14:textId="77777777" w:rsidR="002B7543" w:rsidRDefault="002B7543" w:rsidP="002B75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6876BF64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vMerge/>
            <w:shd w:val="clear" w:color="auto" w:fill="DBE5F1" w:themeFill="accent1" w:themeFillTint="33"/>
          </w:tcPr>
          <w:p w14:paraId="2E994408" w14:textId="77777777" w:rsidR="002B7543" w:rsidRDefault="002B7543" w:rsidP="002B75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2" w:type="dxa"/>
            <w:shd w:val="clear" w:color="auto" w:fill="DBE5F1" w:themeFill="accent1" w:themeFillTint="33"/>
          </w:tcPr>
          <w:p w14:paraId="54A0F739" w14:textId="2A7158AA" w:rsidR="002B7543" w:rsidRPr="009F76F2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 w:rsidRPr="009F76F2">
              <w:rPr>
                <w:rFonts w:ascii="Arial" w:hAnsi="Arial" w:cs="Arial"/>
                <w:sz w:val="17"/>
                <w:szCs w:val="17"/>
              </w:rPr>
              <w:t xml:space="preserve">Cancellation or deprivation of credit either for a assessable work in relation to which misconduct occurred or for the whole unit of which the piece of assessable work is a component but only if the misconduct involved acting dishonestly or unfairly (as per </w:t>
            </w:r>
            <w:hyperlink r:id="rId41" w:history="1">
              <w:r w:rsidR="00450B09"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  <w:r w:rsidRPr="009F76F2">
              <w:rPr>
                <w:rFonts w:ascii="Arial" w:hAnsi="Arial" w:cs="Arial"/>
                <w:sz w:val="17"/>
                <w:szCs w:val="17"/>
              </w:rPr>
              <w:t>)</w:t>
            </w:r>
          </w:p>
          <w:p w14:paraId="48D3C58A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7" w:type="dxa"/>
            <w:vMerge/>
            <w:shd w:val="clear" w:color="auto" w:fill="DBE5F1" w:themeFill="accent1" w:themeFillTint="33"/>
          </w:tcPr>
          <w:p w14:paraId="7F4E28C7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7" w:type="dxa"/>
            <w:vMerge/>
            <w:shd w:val="clear" w:color="auto" w:fill="DBE5F1" w:themeFill="accent1" w:themeFillTint="33"/>
          </w:tcPr>
          <w:p w14:paraId="747F5ED7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8" w:type="dxa"/>
            <w:vMerge/>
            <w:shd w:val="clear" w:color="auto" w:fill="DBE5F1" w:themeFill="accent1" w:themeFillTint="33"/>
          </w:tcPr>
          <w:p w14:paraId="55664462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B7543" w:rsidRPr="00D308E0" w14:paraId="609C2019" w14:textId="77777777" w:rsidTr="00D653F1">
        <w:tc>
          <w:tcPr>
            <w:tcW w:w="2825" w:type="dxa"/>
            <w:vMerge/>
            <w:shd w:val="clear" w:color="auto" w:fill="DBE5F1" w:themeFill="accent1" w:themeFillTint="33"/>
          </w:tcPr>
          <w:p w14:paraId="1B9B8CA7" w14:textId="77777777" w:rsidR="002B7543" w:rsidRDefault="002B7543" w:rsidP="002B75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396F9E29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vMerge/>
            <w:shd w:val="clear" w:color="auto" w:fill="DBE5F1" w:themeFill="accent1" w:themeFillTint="33"/>
          </w:tcPr>
          <w:p w14:paraId="0A136D47" w14:textId="77777777" w:rsidR="002B7543" w:rsidRDefault="002B7543" w:rsidP="002B75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2" w:type="dxa"/>
            <w:shd w:val="clear" w:color="auto" w:fill="DBE5F1" w:themeFill="accent1" w:themeFillTint="33"/>
          </w:tcPr>
          <w:p w14:paraId="6FE132D1" w14:textId="4E839ED8" w:rsidR="002B7543" w:rsidRPr="009F76F2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 w:rsidRPr="009F76F2">
              <w:rPr>
                <w:rFonts w:ascii="Arial" w:hAnsi="Arial" w:cs="Arial"/>
                <w:sz w:val="17"/>
                <w:szCs w:val="17"/>
              </w:rPr>
              <w:t xml:space="preserve">Requirement to do further work or repeat within the unit or course in relation to which misconduct occurred (as per </w:t>
            </w:r>
            <w:hyperlink r:id="rId42" w:history="1">
              <w:r w:rsidR="00450B09"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  <w:r w:rsidRPr="009F76F2">
              <w:rPr>
                <w:rFonts w:ascii="Arial" w:hAnsi="Arial" w:cs="Arial"/>
                <w:sz w:val="17"/>
                <w:szCs w:val="17"/>
              </w:rPr>
              <w:t>)</w:t>
            </w:r>
          </w:p>
          <w:p w14:paraId="2654033A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7" w:type="dxa"/>
            <w:vMerge/>
            <w:shd w:val="clear" w:color="auto" w:fill="DBE5F1" w:themeFill="accent1" w:themeFillTint="33"/>
          </w:tcPr>
          <w:p w14:paraId="000C9806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7" w:type="dxa"/>
            <w:vMerge/>
            <w:shd w:val="clear" w:color="auto" w:fill="DBE5F1" w:themeFill="accent1" w:themeFillTint="33"/>
          </w:tcPr>
          <w:p w14:paraId="7E30CA62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8" w:type="dxa"/>
            <w:vMerge/>
            <w:shd w:val="clear" w:color="auto" w:fill="DBE5F1" w:themeFill="accent1" w:themeFillTint="33"/>
          </w:tcPr>
          <w:p w14:paraId="30D11840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B7543" w:rsidRPr="00D308E0" w14:paraId="1C62051D" w14:textId="77777777" w:rsidTr="00D653F1">
        <w:trPr>
          <w:trHeight w:val="50"/>
        </w:trPr>
        <w:tc>
          <w:tcPr>
            <w:tcW w:w="2825" w:type="dxa"/>
            <w:vMerge/>
            <w:shd w:val="clear" w:color="auto" w:fill="DBE5F1" w:themeFill="accent1" w:themeFillTint="33"/>
          </w:tcPr>
          <w:p w14:paraId="195F4C27" w14:textId="77777777" w:rsidR="002B7543" w:rsidRDefault="002B7543" w:rsidP="002B75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77F933DB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05" w:type="dxa"/>
            <w:vMerge/>
            <w:shd w:val="clear" w:color="auto" w:fill="DBE5F1" w:themeFill="accent1" w:themeFillTint="33"/>
          </w:tcPr>
          <w:p w14:paraId="2E47588A" w14:textId="77777777" w:rsidR="002B7543" w:rsidRDefault="002B7543" w:rsidP="002B75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2" w:type="dxa"/>
            <w:shd w:val="clear" w:color="auto" w:fill="DBE5F1" w:themeFill="accent1" w:themeFillTint="33"/>
          </w:tcPr>
          <w:p w14:paraId="41131521" w14:textId="64294A7D" w:rsidR="002B7543" w:rsidRPr="009F76F2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 w:rsidRPr="009F76F2">
              <w:rPr>
                <w:rFonts w:ascii="Arial" w:hAnsi="Arial" w:cs="Arial"/>
                <w:sz w:val="17"/>
                <w:szCs w:val="17"/>
              </w:rPr>
              <w:t xml:space="preserve">Non-conferral of degree/award (as per </w:t>
            </w:r>
            <w:hyperlink r:id="rId43" w:history="1">
              <w:r w:rsidR="00450B09" w:rsidRPr="00F53737">
                <w:rPr>
                  <w:rStyle w:val="Hyperlink"/>
                  <w:rFonts w:ascii="Arial" w:hAnsi="Arial" w:cs="Arial"/>
                  <w:sz w:val="17"/>
                  <w:szCs w:val="17"/>
                </w:rPr>
                <w:t xml:space="preserve"> Regulations for student conduct and discipline</w:t>
              </w:r>
            </w:hyperlink>
            <w:r w:rsidRPr="009F76F2">
              <w:rPr>
                <w:rFonts w:ascii="Arial" w:hAnsi="Arial" w:cs="Arial"/>
                <w:sz w:val="17"/>
                <w:szCs w:val="17"/>
              </w:rPr>
              <w:t>);</w:t>
            </w:r>
          </w:p>
          <w:p w14:paraId="47131F6E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  <w:p w14:paraId="021C62E7" w14:textId="77777777" w:rsidR="00E83E08" w:rsidRDefault="00E83E08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7" w:type="dxa"/>
            <w:vMerge/>
            <w:shd w:val="clear" w:color="auto" w:fill="DBE5F1" w:themeFill="accent1" w:themeFillTint="33"/>
          </w:tcPr>
          <w:p w14:paraId="160AF74F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7" w:type="dxa"/>
            <w:vMerge/>
            <w:shd w:val="clear" w:color="auto" w:fill="DBE5F1" w:themeFill="accent1" w:themeFillTint="33"/>
          </w:tcPr>
          <w:p w14:paraId="3DBE5ECE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08" w:type="dxa"/>
            <w:vMerge/>
            <w:shd w:val="clear" w:color="auto" w:fill="DBE5F1" w:themeFill="accent1" w:themeFillTint="33"/>
          </w:tcPr>
          <w:p w14:paraId="4B47CBCB" w14:textId="77777777" w:rsidR="002B754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B7543" w:rsidRPr="00584053" w14:paraId="4F1BA911" w14:textId="77777777" w:rsidTr="00D653F1">
        <w:trPr>
          <w:trHeight w:val="50"/>
        </w:trPr>
        <w:tc>
          <w:tcPr>
            <w:tcW w:w="2825" w:type="dxa"/>
            <w:vMerge/>
            <w:shd w:val="clear" w:color="auto" w:fill="DBE5F1" w:themeFill="accent1" w:themeFillTint="33"/>
          </w:tcPr>
          <w:p w14:paraId="03F4BFFF" w14:textId="77777777" w:rsidR="002B7543" w:rsidRPr="00584053" w:rsidRDefault="002B7543" w:rsidP="002B7543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5F763D27" w14:textId="77777777" w:rsidR="002B7543" w:rsidRPr="00584053" w:rsidRDefault="002B7543" w:rsidP="002B7543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3105" w:type="dxa"/>
            <w:vMerge/>
            <w:shd w:val="clear" w:color="auto" w:fill="DBE5F1" w:themeFill="accent1" w:themeFillTint="33"/>
          </w:tcPr>
          <w:p w14:paraId="5614DEC1" w14:textId="77777777" w:rsidR="002B7543" w:rsidRPr="00584053" w:rsidRDefault="002B7543" w:rsidP="002B75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4232" w:type="dxa"/>
            <w:shd w:val="clear" w:color="auto" w:fill="DBE5F1" w:themeFill="accent1" w:themeFillTint="33"/>
          </w:tcPr>
          <w:p w14:paraId="70BC45AB" w14:textId="31E9349E" w:rsidR="002B7543" w:rsidRPr="00584053" w:rsidRDefault="002B7543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Other undocumented conditions. Examples include a requirement to:</w:t>
            </w:r>
          </w:p>
          <w:p w14:paraId="09134BC1" w14:textId="5B739B8F" w:rsidR="002B7543" w:rsidRDefault="002B7543" w:rsidP="002B754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Sign behaviour agreement that includes various conditions such as not contacting another student, accessing areas of the University</w:t>
            </w:r>
          </w:p>
          <w:p w14:paraId="7839315B" w14:textId="77777777" w:rsidR="002B7543" w:rsidRDefault="002B7543" w:rsidP="002B754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Attend mandatory counselling sessions</w:t>
            </w:r>
          </w:p>
          <w:p w14:paraId="12D165B2" w14:textId="0BF4F55D" w:rsidR="002B7543" w:rsidRPr="00584053" w:rsidRDefault="002B7543" w:rsidP="002B754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</w:t>
            </w:r>
            <w:r w:rsidRPr="00F133E3">
              <w:rPr>
                <w:rFonts w:ascii="Arial" w:hAnsi="Arial" w:cs="Arial"/>
                <w:sz w:val="17"/>
                <w:szCs w:val="17"/>
              </w:rPr>
              <w:t>ove rooms at Uni</w:t>
            </w:r>
            <w:r w:rsidR="00AA2B5F">
              <w:rPr>
                <w:rFonts w:ascii="Arial" w:hAnsi="Arial" w:cs="Arial"/>
                <w:sz w:val="17"/>
                <w:szCs w:val="17"/>
              </w:rPr>
              <w:t xml:space="preserve">versity </w:t>
            </w:r>
            <w:r w:rsidRPr="00F133E3">
              <w:rPr>
                <w:rFonts w:ascii="Arial" w:hAnsi="Arial" w:cs="Arial"/>
                <w:sz w:val="17"/>
                <w:szCs w:val="17"/>
              </w:rPr>
              <w:t>Hall</w:t>
            </w:r>
          </w:p>
          <w:p w14:paraId="6F102879" w14:textId="77777777" w:rsidR="002B7543" w:rsidRDefault="002B7543" w:rsidP="002B7543">
            <w:pPr>
              <w:numPr>
                <w:ilvl w:val="0"/>
                <w:numId w:val="15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Required to submit written apology</w:t>
            </w:r>
          </w:p>
          <w:p w14:paraId="1F1B94A0" w14:textId="77777777" w:rsidR="002B7543" w:rsidRPr="00450B09" w:rsidRDefault="002B7543" w:rsidP="002938BE">
            <w:pPr>
              <w:numPr>
                <w:ilvl w:val="0"/>
                <w:numId w:val="15"/>
              </w:numPr>
              <w:rPr>
                <w:rFonts w:ascii="Arial" w:hAnsi="Arial" w:cs="Arial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sz w:val="17"/>
                <w:szCs w:val="17"/>
              </w:rPr>
              <w:t>Required to submit reflective essay</w:t>
            </w:r>
          </w:p>
          <w:p w14:paraId="79B266EE" w14:textId="33C13AEB" w:rsidR="00450B09" w:rsidRPr="00584053" w:rsidRDefault="00450B09" w:rsidP="00450B09">
            <w:pPr>
              <w:ind w:left="720"/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3667" w:type="dxa"/>
            <w:shd w:val="clear" w:color="auto" w:fill="DBE5F1" w:themeFill="accent1" w:themeFillTint="33"/>
          </w:tcPr>
          <w:p w14:paraId="4C23A9FA" w14:textId="7898790F" w:rsidR="002B7543" w:rsidRPr="00584053" w:rsidRDefault="002938BE" w:rsidP="002B7543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sz w:val="17"/>
                <w:szCs w:val="17"/>
              </w:rPr>
              <w:t>Expiration/fulfilment of the encumbrance or successful appeal.</w:t>
            </w:r>
          </w:p>
        </w:tc>
        <w:tc>
          <w:tcPr>
            <w:tcW w:w="3807" w:type="dxa"/>
            <w:shd w:val="clear" w:color="auto" w:fill="DBE5F1" w:themeFill="accent1" w:themeFillTint="33"/>
          </w:tcPr>
          <w:p w14:paraId="0F3CBCDB" w14:textId="77777777" w:rsidR="002B7543" w:rsidRPr="00584053" w:rsidRDefault="002B7543" w:rsidP="002B7543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3808" w:type="dxa"/>
            <w:shd w:val="clear" w:color="auto" w:fill="DBE5F1" w:themeFill="accent1" w:themeFillTint="33"/>
          </w:tcPr>
          <w:p w14:paraId="2825D9A7" w14:textId="77777777" w:rsidR="002B7543" w:rsidRPr="00584053" w:rsidRDefault="002B7543" w:rsidP="002B7543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</w:tr>
      <w:tr w:rsidR="00F9130A" w:rsidRPr="00584053" w14:paraId="2B16E5ED" w14:textId="77777777" w:rsidTr="00D653F1">
        <w:trPr>
          <w:trHeight w:val="50"/>
        </w:trPr>
        <w:tc>
          <w:tcPr>
            <w:tcW w:w="2825" w:type="dxa"/>
            <w:vMerge/>
            <w:shd w:val="clear" w:color="auto" w:fill="DBE5F1" w:themeFill="accent1" w:themeFillTint="33"/>
          </w:tcPr>
          <w:p w14:paraId="0852A452" w14:textId="77777777" w:rsidR="00F9130A" w:rsidRPr="00584053" w:rsidRDefault="00F9130A" w:rsidP="002B7543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1095" w:type="dxa"/>
            <w:vMerge/>
            <w:shd w:val="clear" w:color="auto" w:fill="DBE5F1" w:themeFill="accent1" w:themeFillTint="33"/>
          </w:tcPr>
          <w:p w14:paraId="65769E00" w14:textId="77777777" w:rsidR="00F9130A" w:rsidRPr="00584053" w:rsidRDefault="00F9130A" w:rsidP="002B7543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3105" w:type="dxa"/>
            <w:shd w:val="clear" w:color="auto" w:fill="DBE5F1" w:themeFill="accent1" w:themeFillTint="33"/>
          </w:tcPr>
          <w:p w14:paraId="12985965" w14:textId="287F8965" w:rsidR="00F9130A" w:rsidRPr="007B31FB" w:rsidRDefault="00F9130A" w:rsidP="002B75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7B31FB">
              <w:rPr>
                <w:rFonts w:ascii="Arial" w:hAnsi="Arial" w:cs="Arial"/>
                <w:sz w:val="17"/>
                <w:szCs w:val="17"/>
              </w:rPr>
              <w:t>Financial debt</w:t>
            </w:r>
          </w:p>
        </w:tc>
        <w:tc>
          <w:tcPr>
            <w:tcW w:w="4232" w:type="dxa"/>
            <w:shd w:val="clear" w:color="auto" w:fill="DBE5F1" w:themeFill="accent1" w:themeFillTint="33"/>
          </w:tcPr>
          <w:p w14:paraId="3E10CF1A" w14:textId="77777777" w:rsidR="00F9130A" w:rsidRDefault="00F9130A" w:rsidP="002B75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Student Administration Encumbrances:</w:t>
            </w:r>
          </w:p>
          <w:p w14:paraId="505EFBB4" w14:textId="129B20FF" w:rsidR="00F9130A" w:rsidRPr="009100D2" w:rsidRDefault="00F9130A" w:rsidP="002B7543">
            <w:pPr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9100D2">
              <w:rPr>
                <w:rFonts w:ascii="Arial" w:hAnsi="Arial" w:cs="Arial"/>
                <w:sz w:val="17"/>
                <w:szCs w:val="17"/>
              </w:rPr>
              <w:t>Level 1 - Unspecifie</w:t>
            </w:r>
            <w:r>
              <w:rPr>
                <w:rFonts w:ascii="Arial" w:hAnsi="Arial" w:cs="Arial"/>
                <w:sz w:val="17"/>
                <w:szCs w:val="17"/>
              </w:rPr>
              <w:t>d student encumbrance (or debt)</w:t>
            </w:r>
            <w:r w:rsidRPr="009100D2">
              <w:rPr>
                <w:rFonts w:ascii="Arial" w:hAnsi="Arial" w:cs="Arial"/>
                <w:sz w:val="17"/>
                <w:szCs w:val="17"/>
              </w:rPr>
              <w:t xml:space="preserve">. Issue of academic transcript, release of results and graduation is blocked. </w:t>
            </w:r>
          </w:p>
          <w:p w14:paraId="37B35594" w14:textId="0479E477" w:rsidR="00F9130A" w:rsidRDefault="00F9130A" w:rsidP="002B7543">
            <w:pPr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9100D2">
              <w:rPr>
                <w:rFonts w:ascii="Arial" w:hAnsi="Arial" w:cs="Arial"/>
                <w:sz w:val="17"/>
                <w:szCs w:val="17"/>
              </w:rPr>
              <w:t>Level 2 - All services are withdrawn and will be reinstated when student obligations are met. Encumbrance applied, then course in</w:t>
            </w:r>
            <w:r w:rsidR="005F15A8">
              <w:rPr>
                <w:rFonts w:ascii="Arial" w:hAnsi="Arial" w:cs="Arial"/>
                <w:sz w:val="17"/>
                <w:szCs w:val="17"/>
              </w:rPr>
              <w:t>formation is used to determine P</w:t>
            </w:r>
            <w:r w:rsidRPr="009100D2">
              <w:rPr>
                <w:rFonts w:ascii="Arial" w:hAnsi="Arial" w:cs="Arial"/>
                <w:sz w:val="17"/>
                <w:szCs w:val="17"/>
              </w:rPr>
              <w:t>heme access (i</w:t>
            </w:r>
            <w:r w:rsidR="005F15A8">
              <w:rPr>
                <w:rFonts w:ascii="Arial" w:hAnsi="Arial" w:cs="Arial"/>
                <w:sz w:val="17"/>
                <w:szCs w:val="17"/>
              </w:rPr>
              <w:t>.</w:t>
            </w:r>
            <w:r w:rsidRPr="009100D2">
              <w:rPr>
                <w:rFonts w:ascii="Arial" w:hAnsi="Arial" w:cs="Arial"/>
                <w:sz w:val="17"/>
                <w:szCs w:val="17"/>
              </w:rPr>
              <w:t>e</w:t>
            </w:r>
            <w:r w:rsidR="005F15A8">
              <w:rPr>
                <w:rFonts w:ascii="Arial" w:hAnsi="Arial" w:cs="Arial"/>
                <w:sz w:val="17"/>
                <w:szCs w:val="17"/>
              </w:rPr>
              <w:t>.</w:t>
            </w:r>
            <w:r w:rsidRPr="009100D2">
              <w:rPr>
                <w:rFonts w:ascii="Arial" w:hAnsi="Arial" w:cs="Arial"/>
                <w:sz w:val="17"/>
                <w:szCs w:val="17"/>
              </w:rPr>
              <w:t xml:space="preserve"> 28 days after discontinuation of course</w:t>
            </w:r>
          </w:p>
          <w:p w14:paraId="116D1408" w14:textId="77777777" w:rsidR="00F9130A" w:rsidRDefault="00F9130A" w:rsidP="002B7543">
            <w:pPr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9100D2">
              <w:rPr>
                <w:rFonts w:ascii="Arial" w:hAnsi="Arial" w:cs="Arial"/>
                <w:sz w:val="17"/>
                <w:szCs w:val="17"/>
              </w:rPr>
              <w:t>Level 3 - The student's access to all services is revoked. Discontinue enrolment. This also prevents admission to or enrolling in a new course and re-enrolling in all pre-existing course. Pheme access removed straight away after application of encumbrance</w:t>
            </w:r>
          </w:p>
          <w:p w14:paraId="79AA20AD" w14:textId="75E6E36E" w:rsidR="00F9130A" w:rsidRPr="009100D2" w:rsidRDefault="00F9130A" w:rsidP="00F9130A">
            <w:pPr>
              <w:ind w:left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7" w:type="dxa"/>
            <w:shd w:val="clear" w:color="auto" w:fill="DBE5F1" w:themeFill="accent1" w:themeFillTint="33"/>
          </w:tcPr>
          <w:p w14:paraId="0EB47467" w14:textId="7F4F9691" w:rsidR="00F9130A" w:rsidRPr="00584053" w:rsidRDefault="00F9130A" w:rsidP="002B7543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sz w:val="17"/>
                <w:szCs w:val="17"/>
              </w:rPr>
              <w:t>Expiration/fulfilment of the encumbrance or successful appeal.</w:t>
            </w:r>
          </w:p>
        </w:tc>
        <w:tc>
          <w:tcPr>
            <w:tcW w:w="3807" w:type="dxa"/>
            <w:shd w:val="clear" w:color="auto" w:fill="DBE5F1" w:themeFill="accent1" w:themeFillTint="33"/>
          </w:tcPr>
          <w:p w14:paraId="3BE24818" w14:textId="2B503C40" w:rsidR="00F9130A" w:rsidRPr="00584053" w:rsidRDefault="00F9130A" w:rsidP="002B7543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sz w:val="17"/>
                <w:szCs w:val="17"/>
                <w:u w:val="single"/>
              </w:rPr>
              <w:t>Student Administration</w:t>
            </w:r>
          </w:p>
        </w:tc>
        <w:tc>
          <w:tcPr>
            <w:tcW w:w="3808" w:type="dxa"/>
            <w:shd w:val="clear" w:color="auto" w:fill="DBE5F1" w:themeFill="accent1" w:themeFillTint="33"/>
          </w:tcPr>
          <w:p w14:paraId="72F48ECB" w14:textId="77777777" w:rsidR="00F9130A" w:rsidRPr="00584053" w:rsidRDefault="00F9130A" w:rsidP="002B7543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</w:tr>
    </w:tbl>
    <w:p w14:paraId="44DF559F" w14:textId="25E5E39A" w:rsidR="00351DA7" w:rsidRDefault="00351DA7"/>
    <w:sectPr w:rsidR="00351DA7" w:rsidSect="001162DA">
      <w:pgSz w:w="23814" w:h="16839" w:orient="landscape" w:code="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A5C"/>
    <w:multiLevelType w:val="hybridMultilevel"/>
    <w:tmpl w:val="0A12CF08"/>
    <w:lvl w:ilvl="0" w:tplc="1ACC55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7F9E"/>
    <w:multiLevelType w:val="hybridMultilevel"/>
    <w:tmpl w:val="53CC3D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A41A0"/>
    <w:multiLevelType w:val="hybridMultilevel"/>
    <w:tmpl w:val="0DCA4D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B5379"/>
    <w:multiLevelType w:val="hybridMultilevel"/>
    <w:tmpl w:val="FF26D984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D813A1"/>
    <w:multiLevelType w:val="hybridMultilevel"/>
    <w:tmpl w:val="43D6C09C"/>
    <w:lvl w:ilvl="0" w:tplc="6B4CA2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A077B"/>
    <w:multiLevelType w:val="hybridMultilevel"/>
    <w:tmpl w:val="757EF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02002"/>
    <w:multiLevelType w:val="hybridMultilevel"/>
    <w:tmpl w:val="EBA82A9A"/>
    <w:lvl w:ilvl="0" w:tplc="DB9C8E6A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B337B2"/>
    <w:multiLevelType w:val="hybridMultilevel"/>
    <w:tmpl w:val="C62C311C"/>
    <w:lvl w:ilvl="0" w:tplc="665682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D3AC2"/>
    <w:multiLevelType w:val="hybridMultilevel"/>
    <w:tmpl w:val="DBCCA1F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FA61D3"/>
    <w:multiLevelType w:val="hybridMultilevel"/>
    <w:tmpl w:val="652470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8B544D"/>
    <w:multiLevelType w:val="hybridMultilevel"/>
    <w:tmpl w:val="3F8EB5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A108DF"/>
    <w:multiLevelType w:val="hybridMultilevel"/>
    <w:tmpl w:val="EBA82A9A"/>
    <w:lvl w:ilvl="0" w:tplc="DB9C8E6A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8000C8"/>
    <w:multiLevelType w:val="hybridMultilevel"/>
    <w:tmpl w:val="B48AA5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1771C0"/>
    <w:multiLevelType w:val="hybridMultilevel"/>
    <w:tmpl w:val="5DFAA2D4"/>
    <w:lvl w:ilvl="0" w:tplc="1ACC55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85EC2"/>
    <w:multiLevelType w:val="hybridMultilevel"/>
    <w:tmpl w:val="FE98DB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DF7EAA"/>
    <w:multiLevelType w:val="hybridMultilevel"/>
    <w:tmpl w:val="1FD0B9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6193008">
    <w:abstractNumId w:val="12"/>
  </w:num>
  <w:num w:numId="2" w16cid:durableId="2123107742">
    <w:abstractNumId w:val="1"/>
  </w:num>
  <w:num w:numId="3" w16cid:durableId="225184248">
    <w:abstractNumId w:val="8"/>
  </w:num>
  <w:num w:numId="4" w16cid:durableId="74402287">
    <w:abstractNumId w:val="5"/>
  </w:num>
  <w:num w:numId="5" w16cid:durableId="1700012269">
    <w:abstractNumId w:val="11"/>
  </w:num>
  <w:num w:numId="6" w16cid:durableId="1647854809">
    <w:abstractNumId w:val="6"/>
  </w:num>
  <w:num w:numId="7" w16cid:durableId="670837836">
    <w:abstractNumId w:val="3"/>
  </w:num>
  <w:num w:numId="8" w16cid:durableId="279340571">
    <w:abstractNumId w:val="10"/>
  </w:num>
  <w:num w:numId="9" w16cid:durableId="1328753572">
    <w:abstractNumId w:val="14"/>
  </w:num>
  <w:num w:numId="10" w16cid:durableId="1839151716">
    <w:abstractNumId w:val="7"/>
  </w:num>
  <w:num w:numId="11" w16cid:durableId="1226063962">
    <w:abstractNumId w:val="9"/>
  </w:num>
  <w:num w:numId="12" w16cid:durableId="1139300121">
    <w:abstractNumId w:val="2"/>
  </w:num>
  <w:num w:numId="13" w16cid:durableId="289289471">
    <w:abstractNumId w:val="15"/>
  </w:num>
  <w:num w:numId="14" w16cid:durableId="2020038107">
    <w:abstractNumId w:val="4"/>
  </w:num>
  <w:num w:numId="15" w16cid:durableId="859972295">
    <w:abstractNumId w:val="0"/>
  </w:num>
  <w:num w:numId="16" w16cid:durableId="14268788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4DB"/>
    <w:rsid w:val="00016253"/>
    <w:rsid w:val="0003004A"/>
    <w:rsid w:val="00031F52"/>
    <w:rsid w:val="0009771C"/>
    <w:rsid w:val="000A3943"/>
    <w:rsid w:val="000B7DA7"/>
    <w:rsid w:val="000E6BAE"/>
    <w:rsid w:val="0010005A"/>
    <w:rsid w:val="001136E4"/>
    <w:rsid w:val="001162DA"/>
    <w:rsid w:val="001A735A"/>
    <w:rsid w:val="001B1E9F"/>
    <w:rsid w:val="001E2B75"/>
    <w:rsid w:val="00202ED5"/>
    <w:rsid w:val="0023560E"/>
    <w:rsid w:val="0024788C"/>
    <w:rsid w:val="002810FF"/>
    <w:rsid w:val="002845CB"/>
    <w:rsid w:val="002938BE"/>
    <w:rsid w:val="00294DDB"/>
    <w:rsid w:val="002B6D02"/>
    <w:rsid w:val="002B7543"/>
    <w:rsid w:val="00304A8C"/>
    <w:rsid w:val="00351DA7"/>
    <w:rsid w:val="00375BBC"/>
    <w:rsid w:val="00391CC4"/>
    <w:rsid w:val="003B3098"/>
    <w:rsid w:val="003B50B7"/>
    <w:rsid w:val="003C7259"/>
    <w:rsid w:val="00406415"/>
    <w:rsid w:val="0043316E"/>
    <w:rsid w:val="00450B09"/>
    <w:rsid w:val="004551FC"/>
    <w:rsid w:val="0046745E"/>
    <w:rsid w:val="00483C4F"/>
    <w:rsid w:val="00491909"/>
    <w:rsid w:val="0051625B"/>
    <w:rsid w:val="00517C69"/>
    <w:rsid w:val="00527566"/>
    <w:rsid w:val="00532E20"/>
    <w:rsid w:val="00551704"/>
    <w:rsid w:val="005575FA"/>
    <w:rsid w:val="00560D90"/>
    <w:rsid w:val="0058123B"/>
    <w:rsid w:val="00584053"/>
    <w:rsid w:val="005A299F"/>
    <w:rsid w:val="005F15A8"/>
    <w:rsid w:val="00657F1A"/>
    <w:rsid w:val="006B7703"/>
    <w:rsid w:val="006C416F"/>
    <w:rsid w:val="006F6ABD"/>
    <w:rsid w:val="0070682C"/>
    <w:rsid w:val="00743BF3"/>
    <w:rsid w:val="0079600B"/>
    <w:rsid w:val="007A7E9A"/>
    <w:rsid w:val="007B31FB"/>
    <w:rsid w:val="007B54DB"/>
    <w:rsid w:val="007C5CB0"/>
    <w:rsid w:val="007E0F4C"/>
    <w:rsid w:val="00801371"/>
    <w:rsid w:val="0081258C"/>
    <w:rsid w:val="008379B5"/>
    <w:rsid w:val="00873F2B"/>
    <w:rsid w:val="00896011"/>
    <w:rsid w:val="00901D09"/>
    <w:rsid w:val="009100D2"/>
    <w:rsid w:val="00954E49"/>
    <w:rsid w:val="00964245"/>
    <w:rsid w:val="00990C0E"/>
    <w:rsid w:val="009B3F65"/>
    <w:rsid w:val="009D3AF5"/>
    <w:rsid w:val="009E003A"/>
    <w:rsid w:val="009E1971"/>
    <w:rsid w:val="009F76F2"/>
    <w:rsid w:val="00A11E1D"/>
    <w:rsid w:val="00A364FA"/>
    <w:rsid w:val="00AA1A60"/>
    <w:rsid w:val="00AA2B5F"/>
    <w:rsid w:val="00AC0EE6"/>
    <w:rsid w:val="00AC47C9"/>
    <w:rsid w:val="00AC72FD"/>
    <w:rsid w:val="00AE06A1"/>
    <w:rsid w:val="00B161CC"/>
    <w:rsid w:val="00B447C0"/>
    <w:rsid w:val="00BD0EBD"/>
    <w:rsid w:val="00C07D1D"/>
    <w:rsid w:val="00C33D85"/>
    <w:rsid w:val="00C5264A"/>
    <w:rsid w:val="00C54A76"/>
    <w:rsid w:val="00C62808"/>
    <w:rsid w:val="00CE461F"/>
    <w:rsid w:val="00CE63CD"/>
    <w:rsid w:val="00CF4AA2"/>
    <w:rsid w:val="00D308E0"/>
    <w:rsid w:val="00D36271"/>
    <w:rsid w:val="00D4499A"/>
    <w:rsid w:val="00D44ED4"/>
    <w:rsid w:val="00D653F1"/>
    <w:rsid w:val="00D70572"/>
    <w:rsid w:val="00D71ABD"/>
    <w:rsid w:val="00DC2F9A"/>
    <w:rsid w:val="00DD64A4"/>
    <w:rsid w:val="00DE111F"/>
    <w:rsid w:val="00DF6F94"/>
    <w:rsid w:val="00E01281"/>
    <w:rsid w:val="00E03EFB"/>
    <w:rsid w:val="00E05CFE"/>
    <w:rsid w:val="00E05D91"/>
    <w:rsid w:val="00E54F63"/>
    <w:rsid w:val="00E80351"/>
    <w:rsid w:val="00E83E08"/>
    <w:rsid w:val="00ED4DB8"/>
    <w:rsid w:val="00F133E3"/>
    <w:rsid w:val="00F53737"/>
    <w:rsid w:val="00F64817"/>
    <w:rsid w:val="00F87694"/>
    <w:rsid w:val="00F9130A"/>
    <w:rsid w:val="00F964CB"/>
    <w:rsid w:val="00FA7E46"/>
    <w:rsid w:val="00FB3437"/>
    <w:rsid w:val="00FC0D6F"/>
    <w:rsid w:val="00F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A919E"/>
  <w15:docId w15:val="{9B08B373-8C4D-4828-B5B8-309F07AF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A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5C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7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9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9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B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379B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E63C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35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ernance.uwa.edu.au/regulations/student-conduct" TargetMode="External"/><Relationship Id="rId13" Type="http://schemas.openxmlformats.org/officeDocument/2006/relationships/hyperlink" Target="http://www.governance.uwa.edu.au/procedures/policies/policies-and-procedures?method=document&amp;id=UP11%2F26" TargetMode="External"/><Relationship Id="rId18" Type="http://schemas.openxmlformats.org/officeDocument/2006/relationships/hyperlink" Target="file:///C:\Users\00023750\AppData\Local\Microsoft\Windows\Temporary%20Internet%20Files\Content.Outlook\2RO2LH1D\ersity%20Policy%20on%20www.governance.uwa.edu.au\procedures\policies\policies-and-procedures%3fmethod=document&amp;id=UP16\5" TargetMode="External"/><Relationship Id="rId26" Type="http://schemas.openxmlformats.org/officeDocument/2006/relationships/hyperlink" Target="http://handbooks.uwa.edu.au/course-rules?id=55189" TargetMode="External"/><Relationship Id="rId39" Type="http://schemas.openxmlformats.org/officeDocument/2006/relationships/hyperlink" Target="http://www.governance.uwa.edu.au/regulations/student-conduc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ostgraduate.uwa.edu.au/students/candidature/termination" TargetMode="External"/><Relationship Id="rId34" Type="http://schemas.openxmlformats.org/officeDocument/2006/relationships/hyperlink" Target="http://www.governance.uwa.edu.au/regulations/student-conduct" TargetMode="External"/><Relationship Id="rId42" Type="http://schemas.openxmlformats.org/officeDocument/2006/relationships/hyperlink" Target="http://www.governance.uwa.edu.au/regulations/student-conduct" TargetMode="External"/><Relationship Id="rId7" Type="http://schemas.openxmlformats.org/officeDocument/2006/relationships/hyperlink" Target="https://ipoint.uwa.edu.au/app/answers/detail/a_id/2652/~/extending-your-coe-and-applying-for-a-new-international-student-visa" TargetMode="External"/><Relationship Id="rId12" Type="http://schemas.openxmlformats.org/officeDocument/2006/relationships/hyperlink" Target="http://www.governance.uwa.edu.au/procedures/policies/policies-and-procedures?method=document&amp;id=UP11%2F26" TargetMode="External"/><Relationship Id="rId17" Type="http://schemas.openxmlformats.org/officeDocument/2006/relationships/hyperlink" Target="http://handbooks.uwa.edu.au/course-rules?id=55189" TargetMode="External"/><Relationship Id="rId25" Type="http://schemas.openxmlformats.org/officeDocument/2006/relationships/hyperlink" Target="http://handbooks.uwa.edu.au/course-rules?id=55189" TargetMode="External"/><Relationship Id="rId33" Type="http://schemas.openxmlformats.org/officeDocument/2006/relationships/hyperlink" Target="http://www.governance.uwa.edu.au/regulations/student-conduct" TargetMode="External"/><Relationship Id="rId38" Type="http://schemas.openxmlformats.org/officeDocument/2006/relationships/hyperlink" Target="http://www.governance.uwa.edu.au/regulations/student-conduc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vernance.uwa.edu.au/regulations/student-conduct" TargetMode="External"/><Relationship Id="rId20" Type="http://schemas.openxmlformats.org/officeDocument/2006/relationships/hyperlink" Target="http://www.governance.uwa.edu.au/procedures/policies/policies-and-procedures?method=document&amp;id=UP16%2F5" TargetMode="External"/><Relationship Id="rId29" Type="http://schemas.openxmlformats.org/officeDocument/2006/relationships/hyperlink" Target="http://www.governance.uwa.edu.au/procedures/policies/policies-and-procedures?method=document&amp;id=UP16%2F5" TargetMode="External"/><Relationship Id="rId41" Type="http://schemas.openxmlformats.org/officeDocument/2006/relationships/hyperlink" Target="http://www.governance.uwa.edu.au/regulations/student-conduc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vernance.uwa.edu.au/procedures/policies/policies-and-procedures?method=document&amp;id=UP16%2F5" TargetMode="External"/><Relationship Id="rId11" Type="http://schemas.openxmlformats.org/officeDocument/2006/relationships/hyperlink" Target="http://www.governance.uwa.edu.au/procedures/policies/policies-and-procedures?method=document&amp;id=UP10%2F8" TargetMode="External"/><Relationship Id="rId24" Type="http://schemas.openxmlformats.org/officeDocument/2006/relationships/hyperlink" Target="http://www.governance.uwa.edu.au/regulations/student-conduct" TargetMode="External"/><Relationship Id="rId32" Type="http://schemas.openxmlformats.org/officeDocument/2006/relationships/hyperlink" Target="http://www.governance.uwa.edu.au/regulations/student-conduct" TargetMode="External"/><Relationship Id="rId37" Type="http://schemas.openxmlformats.org/officeDocument/2006/relationships/hyperlink" Target="http://www.governance.uwa.edu.au/regulations/student-conduct" TargetMode="External"/><Relationship Id="rId40" Type="http://schemas.openxmlformats.org/officeDocument/2006/relationships/hyperlink" Target="http://www.governance.uwa.edu.au/regulations/student-conduct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vernance.uwa.edu.au/procedures/policies/policies-and-procedures?method=document&amp;id=UP16%2F5" TargetMode="External"/><Relationship Id="rId23" Type="http://schemas.openxmlformats.org/officeDocument/2006/relationships/hyperlink" Target="http://www.governance.uwa.edu.au/regulations/student-conduct" TargetMode="External"/><Relationship Id="rId28" Type="http://schemas.openxmlformats.org/officeDocument/2006/relationships/hyperlink" Target="http://www.governance.uwa.edu.au/procedures/policies/policies-and-procedures?method=document&amp;id=UP16%2F5" TargetMode="External"/><Relationship Id="rId36" Type="http://schemas.openxmlformats.org/officeDocument/2006/relationships/hyperlink" Target="http://www.governance.uwa.edu.au/regulations/student-conduct" TargetMode="External"/><Relationship Id="rId10" Type="http://schemas.openxmlformats.org/officeDocument/2006/relationships/hyperlink" Target="http://www.governance.uwa.edu.au/procedures/policies/policies-and-procedures?method=document&amp;id=UP10%2F8" TargetMode="External"/><Relationship Id="rId19" Type="http://schemas.openxmlformats.org/officeDocument/2006/relationships/hyperlink" Target="http://www.governance.uwa.edu.au/procedures/policies/policies-and-procedures?method=document&amp;id=UP16%2F5" TargetMode="External"/><Relationship Id="rId31" Type="http://schemas.openxmlformats.org/officeDocument/2006/relationships/hyperlink" Target="http://www.governance.uwa.edu.au/regulations/student-conduct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ernance.uwa.edu.au/regulations/student-conduct" TargetMode="External"/><Relationship Id="rId14" Type="http://schemas.openxmlformats.org/officeDocument/2006/relationships/hyperlink" Target="http://www.governance.uwa.edu.au/procedures/policies/policies-and-procedures?method=document&amp;id=UP11%2F26" TargetMode="External"/><Relationship Id="rId22" Type="http://schemas.openxmlformats.org/officeDocument/2006/relationships/hyperlink" Target="http://www.governance.uwa.edu.au/procedures/policies/policies-and-procedures?method=document&amp;id=UP16%2F5" TargetMode="External"/><Relationship Id="rId27" Type="http://schemas.openxmlformats.org/officeDocument/2006/relationships/hyperlink" Target="http://www.governance.uwa.edu.au/procedures/policies/policies-and-procedures?method=document&amp;id=UP16%2F5" TargetMode="External"/><Relationship Id="rId30" Type="http://schemas.openxmlformats.org/officeDocument/2006/relationships/hyperlink" Target="http://www.governance.uwa.edu.au/regulations/student-conduct" TargetMode="External"/><Relationship Id="rId35" Type="http://schemas.openxmlformats.org/officeDocument/2006/relationships/hyperlink" Target="http://www.governance.uwa.edu.au/regulations/student-conduct" TargetMode="External"/><Relationship Id="rId43" Type="http://schemas.openxmlformats.org/officeDocument/2006/relationships/hyperlink" Target="http://www.governance.uwa.edu.au/regulations/student-con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561E6-D8EC-422C-A82C-0297B1B6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2706</Words>
  <Characters>15426</Characters>
  <Application>Microsoft Office Word</Application>
  <DocSecurity>4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18096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Kabilan Krishnasamy</dc:creator>
  <cp:lastModifiedBy>Tim McMahon</cp:lastModifiedBy>
  <cp:revision>2</cp:revision>
  <dcterms:created xsi:type="dcterms:W3CDTF">2024-09-17T03:46:00Z</dcterms:created>
  <dcterms:modified xsi:type="dcterms:W3CDTF">2024-09-17T03:46:00Z</dcterms:modified>
</cp:coreProperties>
</file>