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CD55A" w14:textId="246680AE" w:rsidR="002A3D06" w:rsidRDefault="000F48C1" w:rsidP="00F4427E">
      <w:pPr>
        <w:pStyle w:val="Title"/>
        <w:rPr>
          <w:noProof/>
        </w:rPr>
      </w:pPr>
      <w:r>
        <w:rPr>
          <w:noProof/>
        </w:rPr>
        <mc:AlternateContent>
          <mc:Choice Requires="wps">
            <w:drawing>
              <wp:anchor distT="0" distB="0" distL="114300" distR="114300" simplePos="0" relativeHeight="251658752" behindDoc="0" locked="0" layoutInCell="1" allowOverlap="1" wp14:anchorId="2D2B15C2" wp14:editId="4BE8287F">
                <wp:simplePos x="0" y="0"/>
                <wp:positionH relativeFrom="column">
                  <wp:posOffset>4391025</wp:posOffset>
                </wp:positionH>
                <wp:positionV relativeFrom="paragraph">
                  <wp:posOffset>-95250</wp:posOffset>
                </wp:positionV>
                <wp:extent cx="2703195" cy="1153160"/>
                <wp:effectExtent l="0" t="0" r="0" b="0"/>
                <wp:wrapNone/>
                <wp:docPr id="9" name="Rectangle 9" descr="alt=&quot;  &quo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03195" cy="1153160"/>
                        </a:xfrm>
                        <a:prstGeom prst="rect">
                          <a:avLst/>
                        </a:prstGeom>
                        <a:solidFill>
                          <a:sysClr val="window" lastClr="FFFFF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03B56AF" id="Rectangle 9" o:spid="_x0000_s1026" alt="alt=&quot;  &quot;" style="position:absolute;margin-left:345.75pt;margin-top:-7.5pt;width:212.85pt;height:90.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" fillcolor="window" stroked="f" strokeweight="1pt"/>
            </w:pict>
          </mc:Fallback>
        </mc:AlternateContent>
      </w:r>
      <w:r>
        <w:rPr>
          <w:noProof/>
        </w:rPr>
        <w:drawing>
          <wp:anchor distT="0" distB="3683" distL="114300" distR="114300" simplePos="0" relativeHeight="251659776" behindDoc="0" locked="0" layoutInCell="1" allowOverlap="1" wp14:anchorId="68EE7D21" wp14:editId="5D0CC293">
            <wp:simplePos x="0" y="0"/>
            <wp:positionH relativeFrom="column">
              <wp:posOffset>4841875</wp:posOffset>
            </wp:positionH>
            <wp:positionV relativeFrom="paragraph">
              <wp:posOffset>209550</wp:posOffset>
            </wp:positionV>
            <wp:extent cx="1739265" cy="571246"/>
            <wp:effectExtent l="0" t="0" r="0" b="0"/>
            <wp:wrapNone/>
            <wp:docPr id="5" name="Picture 1" descr="The University of Western Australia " title="The University of Western Australi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descr="The University of Western Australia " title="The University of Western Australia "/>
                    <pic:cNvPicPr>
                      <a:picLocks noChangeAspect="1"/>
                    </pic:cNvPicPr>
                  </pic:nvPicPr>
                  <pic:blipFill>
                    <a:blip r:embed="rId8" cstate="print"/>
                    <a:stretch>
                      <a:fillRect/>
                    </a:stretch>
                  </pic:blipFill>
                  <pic:spPr>
                    <a:xfrm>
                      <a:off x="0" y="0"/>
                      <a:ext cx="1739265" cy="57086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1" locked="0" layoutInCell="1" allowOverlap="1" wp14:anchorId="20434A09" wp14:editId="2A1EF399">
            <wp:simplePos x="0" y="0"/>
            <wp:positionH relativeFrom="column">
              <wp:posOffset>-443865</wp:posOffset>
            </wp:positionH>
            <wp:positionV relativeFrom="paragraph">
              <wp:posOffset>-483870</wp:posOffset>
            </wp:positionV>
            <wp:extent cx="7867650" cy="2809240"/>
            <wp:effectExtent l="0" t="0" r="0" b="0"/>
            <wp:wrapNone/>
            <wp:docPr id="4" name="Picture 16" descr="alt=&quot;  &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alt=&quot;  &quo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867650" cy="2809240"/>
                    </a:xfrm>
                    <a:prstGeom prst="rect">
                      <a:avLst/>
                    </a:prstGeom>
                    <a:noFill/>
                    <a:ln>
                      <a:noFill/>
                    </a:ln>
                  </pic:spPr>
                </pic:pic>
              </a:graphicData>
            </a:graphic>
            <wp14:sizeRelH relativeFrom="page">
              <wp14:pctWidth>0</wp14:pctWidth>
            </wp14:sizeRelH>
            <wp14:sizeRelV relativeFrom="page">
              <wp14:pctHeight>0</wp14:pctHeight>
            </wp14:sizeRelV>
          </wp:anchor>
        </w:drawing>
      </w:r>
      <w:r w:rsidR="002A3D06">
        <w:rPr>
          <w:noProof/>
        </w:rPr>
        <w:t>Capital Debt</w:t>
      </w:r>
    </w:p>
    <w:p w14:paraId="2F41A421" w14:textId="77777777" w:rsidR="009B6052" w:rsidRDefault="002A3D06" w:rsidP="00F4427E">
      <w:pPr>
        <w:pStyle w:val="Title"/>
        <w:rPr>
          <w:noProof/>
        </w:rPr>
      </w:pPr>
      <w:r>
        <w:rPr>
          <w:noProof/>
        </w:rPr>
        <w:t>Management</w:t>
      </w:r>
    </w:p>
    <w:p w14:paraId="044255F1" w14:textId="77777777" w:rsidR="00FC4989" w:rsidRDefault="00251521" w:rsidP="00F4427E">
      <w:pPr>
        <w:pStyle w:val="Subtitle"/>
      </w:pPr>
      <w:r>
        <w:t>Policy</w:t>
      </w:r>
    </w:p>
    <w:p w14:paraId="7FE7AAC1" w14:textId="46076A37" w:rsidR="0010647D" w:rsidRDefault="000F48C1" w:rsidP="0010647D">
      <w:r>
        <w:rPr>
          <w:noProof/>
        </w:rPr>
        <mc:AlternateContent>
          <mc:Choice Requires="wps">
            <w:drawing>
              <wp:anchor distT="45720" distB="45720" distL="114300" distR="114300" simplePos="0" relativeHeight="251655680" behindDoc="0" locked="1" layoutInCell="1" allowOverlap="1" wp14:anchorId="507BF616" wp14:editId="193CA15F">
                <wp:simplePos x="0" y="0"/>
                <wp:positionH relativeFrom="column">
                  <wp:posOffset>9525</wp:posOffset>
                </wp:positionH>
                <wp:positionV relativeFrom="paragraph">
                  <wp:posOffset>650875</wp:posOffset>
                </wp:positionV>
                <wp:extent cx="3200400" cy="1706245"/>
                <wp:effectExtent l="0" t="0" r="0" b="0"/>
                <wp:wrapSquare wrapText="bothSides"/>
                <wp:docPr id="217" name="Text Box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200400" cy="1706245"/>
                        </a:xfrm>
                        <a:prstGeom prst="rect">
                          <a:avLst/>
                        </a:prstGeom>
                        <a:solidFill>
                          <a:srgbClr val="FFFFFF"/>
                        </a:solidFill>
                        <a:ln w="9525">
                          <a:noFill/>
                          <a:miter lim="800000"/>
                          <a:headEnd/>
                          <a:tailEnd/>
                        </a:ln>
                      </wps:spPr>
                      <wps:txbx>
                        <w:txbxContent>
                          <w:p w14:paraId="75A90859" w14:textId="77777777" w:rsidR="0034568A" w:rsidRPr="0034568A" w:rsidRDefault="0034568A" w:rsidP="0010647D">
                            <w:pPr>
                              <w:pStyle w:val="Metadata"/>
                              <w:spacing w:line="240" w:lineRule="auto"/>
                              <w:rPr>
                                <w:sz w:val="10"/>
                              </w:rPr>
                            </w:pPr>
                          </w:p>
                          <w:p w14:paraId="70B22372" w14:textId="77777777" w:rsidR="0040732E" w:rsidRPr="0010647D" w:rsidRDefault="0040732E" w:rsidP="0034568A">
                            <w:pPr>
                              <w:pStyle w:val="Metadata"/>
                              <w:spacing w:line="240" w:lineRule="auto"/>
                              <w:ind w:left="142"/>
                            </w:pPr>
                            <w:r w:rsidRPr="0010647D">
                              <w:t>Policy</w:t>
                            </w:r>
                            <w:r w:rsidR="00722C84" w:rsidRPr="0010647D">
                              <w:t xml:space="preserve"> Number</w:t>
                            </w:r>
                            <w:r w:rsidRPr="0010647D">
                              <w:tab/>
                            </w:r>
                            <w:r w:rsidR="002A3D06">
                              <w:rPr>
                                <w:b w:val="0"/>
                              </w:rPr>
                              <w:t>UP09/12</w:t>
                            </w:r>
                          </w:p>
                          <w:p w14:paraId="7D06BE3A" w14:textId="02612246" w:rsidR="0040732E" w:rsidRPr="0010647D" w:rsidRDefault="00722C84" w:rsidP="0034568A">
                            <w:pPr>
                              <w:pStyle w:val="Metadata"/>
                              <w:spacing w:line="240" w:lineRule="auto"/>
                              <w:ind w:left="142"/>
                            </w:pPr>
                            <w:r w:rsidRPr="0010647D">
                              <w:t>Approval Date</w:t>
                            </w:r>
                            <w:r w:rsidR="0040732E" w:rsidRPr="0010647D">
                              <w:t xml:space="preserve"> </w:t>
                            </w:r>
                            <w:r w:rsidR="0040732E" w:rsidRPr="0010647D">
                              <w:tab/>
                            </w:r>
                            <w:r w:rsidR="008B1CB5">
                              <w:rPr>
                                <w:b w:val="0"/>
                              </w:rPr>
                              <w:t>28 October 2024</w:t>
                            </w:r>
                          </w:p>
                          <w:p w14:paraId="06BCB3FB" w14:textId="49D06E7D" w:rsidR="0040732E" w:rsidRPr="0010647D" w:rsidRDefault="00722C84" w:rsidP="0034568A">
                            <w:pPr>
                              <w:pStyle w:val="Metadata"/>
                              <w:spacing w:line="240" w:lineRule="auto"/>
                              <w:ind w:left="142"/>
                            </w:pPr>
                            <w:r w:rsidRPr="0010647D">
                              <w:t>Assessment Date</w:t>
                            </w:r>
                            <w:r w:rsidR="0040732E" w:rsidRPr="0010647D">
                              <w:t xml:space="preserve"> </w:t>
                            </w:r>
                            <w:r w:rsidR="0040732E" w:rsidRPr="0010647D">
                              <w:tab/>
                            </w:r>
                            <w:r w:rsidR="0013433A">
                              <w:rPr>
                                <w:b w:val="0"/>
                              </w:rPr>
                              <w:t>October</w:t>
                            </w:r>
                            <w:r w:rsidR="002A3D06">
                              <w:rPr>
                                <w:b w:val="0"/>
                              </w:rPr>
                              <w:t xml:space="preserve"> </w:t>
                            </w:r>
                            <w:r w:rsidR="008B1CB5">
                              <w:rPr>
                                <w:b w:val="0"/>
                              </w:rPr>
                              <w:t>202</w:t>
                            </w:r>
                            <w:r w:rsidR="008B1CB5">
                              <w:rPr>
                                <w:b w:val="0"/>
                              </w:rPr>
                              <w:t>6</w:t>
                            </w:r>
                          </w:p>
                          <w:p w14:paraId="10514FDF" w14:textId="77777777" w:rsidR="0040732E" w:rsidRPr="0010647D" w:rsidRDefault="00722C84" w:rsidP="0034568A">
                            <w:pPr>
                              <w:pStyle w:val="Metadata"/>
                              <w:spacing w:line="240" w:lineRule="auto"/>
                              <w:ind w:left="142"/>
                              <w:rPr>
                                <w:b w:val="0"/>
                              </w:rPr>
                            </w:pPr>
                            <w:r w:rsidRPr="0010647D">
                              <w:t>Approver</w:t>
                            </w:r>
                            <w:r w:rsidR="0040732E" w:rsidRPr="0010647D">
                              <w:tab/>
                            </w:r>
                            <w:r w:rsidR="0040732E" w:rsidRPr="0010647D">
                              <w:tab/>
                            </w:r>
                            <w:r w:rsidR="002A3D06">
                              <w:rPr>
                                <w:b w:val="0"/>
                              </w:rPr>
                              <w:t>Senate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07BF616" id="_x0000_t202" coordsize="21600,21600" o:spt="202" path="m,l,21600r21600,l21600,xe">
                <v:stroke joinstyle="miter"/>
                <v:path gradientshapeok="t" o:connecttype="rect"/>
              </v:shapetype>
              <v:shape id="Text Box 2" o:spid="_x0000_s1026" type="#_x0000_t202" style="position:absolute;margin-left:.75pt;margin-top:51.25pt;width:252pt;height:134.35pt;z-index:251655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" stroked="f">
                <o:lock v:ext="edit" aspectratio="t"/>
                <v:textbox>
                  <w:txbxContent>
                    <w:p w14:paraId="75A90859" w14:textId="77777777" w:rsidR="0034568A" w:rsidRPr="0034568A" w:rsidRDefault="0034568A" w:rsidP="0010647D">
                      <w:pPr>
                        <w:pStyle w:val="Metadata"/>
                        <w:spacing w:line="240" w:lineRule="auto"/>
                        <w:rPr>
                          <w:sz w:val="10"/>
                        </w:rPr>
                      </w:pPr>
                    </w:p>
                    <w:p w14:paraId="70B22372" w14:textId="77777777" w:rsidR="0040732E" w:rsidRPr="0010647D" w:rsidRDefault="0040732E" w:rsidP="0034568A">
                      <w:pPr>
                        <w:pStyle w:val="Metadata"/>
                        <w:spacing w:line="240" w:lineRule="auto"/>
                        <w:ind w:left="142"/>
                      </w:pPr>
                      <w:r w:rsidRPr="0010647D">
                        <w:t>Policy</w:t>
                      </w:r>
                      <w:r w:rsidR="00722C84" w:rsidRPr="0010647D">
                        <w:t xml:space="preserve"> Number</w:t>
                      </w:r>
                      <w:r w:rsidRPr="0010647D">
                        <w:tab/>
                      </w:r>
                      <w:r w:rsidR="002A3D06">
                        <w:rPr>
                          <w:b w:val="0"/>
                        </w:rPr>
                        <w:t>UP09/12</w:t>
                      </w:r>
                    </w:p>
                    <w:p w14:paraId="7D06BE3A" w14:textId="02612246" w:rsidR="0040732E" w:rsidRPr="0010647D" w:rsidRDefault="00722C84" w:rsidP="0034568A">
                      <w:pPr>
                        <w:pStyle w:val="Metadata"/>
                        <w:spacing w:line="240" w:lineRule="auto"/>
                        <w:ind w:left="142"/>
                      </w:pPr>
                      <w:r w:rsidRPr="0010647D">
                        <w:t>Approval Date</w:t>
                      </w:r>
                      <w:r w:rsidR="0040732E" w:rsidRPr="0010647D">
                        <w:t xml:space="preserve"> </w:t>
                      </w:r>
                      <w:r w:rsidR="0040732E" w:rsidRPr="0010647D">
                        <w:tab/>
                      </w:r>
                      <w:r w:rsidR="008B1CB5">
                        <w:rPr>
                          <w:b w:val="0"/>
                        </w:rPr>
                        <w:t>28 October 2024</w:t>
                      </w:r>
                    </w:p>
                    <w:p w14:paraId="06BCB3FB" w14:textId="49D06E7D" w:rsidR="0040732E" w:rsidRPr="0010647D" w:rsidRDefault="00722C84" w:rsidP="0034568A">
                      <w:pPr>
                        <w:pStyle w:val="Metadata"/>
                        <w:spacing w:line="240" w:lineRule="auto"/>
                        <w:ind w:left="142"/>
                      </w:pPr>
                      <w:r w:rsidRPr="0010647D">
                        <w:t>Assessment Date</w:t>
                      </w:r>
                      <w:r w:rsidR="0040732E" w:rsidRPr="0010647D">
                        <w:t xml:space="preserve"> </w:t>
                      </w:r>
                      <w:r w:rsidR="0040732E" w:rsidRPr="0010647D">
                        <w:tab/>
                      </w:r>
                      <w:r w:rsidR="0013433A">
                        <w:rPr>
                          <w:b w:val="0"/>
                        </w:rPr>
                        <w:t>October</w:t>
                      </w:r>
                      <w:r w:rsidR="002A3D06">
                        <w:rPr>
                          <w:b w:val="0"/>
                        </w:rPr>
                        <w:t xml:space="preserve"> </w:t>
                      </w:r>
                      <w:r w:rsidR="008B1CB5">
                        <w:rPr>
                          <w:b w:val="0"/>
                        </w:rPr>
                        <w:t>202</w:t>
                      </w:r>
                      <w:r w:rsidR="008B1CB5">
                        <w:rPr>
                          <w:b w:val="0"/>
                        </w:rPr>
                        <w:t>6</w:t>
                      </w:r>
                    </w:p>
                    <w:p w14:paraId="10514FDF" w14:textId="77777777" w:rsidR="0040732E" w:rsidRPr="0010647D" w:rsidRDefault="00722C84" w:rsidP="0034568A">
                      <w:pPr>
                        <w:pStyle w:val="Metadata"/>
                        <w:spacing w:line="240" w:lineRule="auto"/>
                        <w:ind w:left="142"/>
                        <w:rPr>
                          <w:b w:val="0"/>
                        </w:rPr>
                      </w:pPr>
                      <w:r w:rsidRPr="0010647D">
                        <w:t>Approver</w:t>
                      </w:r>
                      <w:r w:rsidR="0040732E" w:rsidRPr="0010647D">
                        <w:tab/>
                      </w:r>
                      <w:r w:rsidR="0040732E" w:rsidRPr="0010647D">
                        <w:tab/>
                      </w:r>
                      <w:r w:rsidR="002A3D06">
                        <w:rPr>
                          <w:b w:val="0"/>
                        </w:rPr>
                        <w:t>Senate</w:t>
                      </w:r>
                    </w:p>
                  </w:txbxContent>
                </v:textbox>
                <w10:wrap type="square"/>
                <w10:anchorlock/>
              </v:shape>
            </w:pict>
          </mc:Fallback>
        </mc:AlternateContent>
      </w:r>
      <w:r>
        <w:rPr>
          <w:noProof/>
        </w:rPr>
        <mc:AlternateContent>
          <mc:Choice Requires="wps">
            <w:drawing>
              <wp:anchor distT="45720" distB="45720" distL="114300" distR="114300" simplePos="0" relativeHeight="251656704" behindDoc="0" locked="1" layoutInCell="1" allowOverlap="1" wp14:anchorId="3E9C9A63" wp14:editId="707CFCDE">
                <wp:simplePos x="0" y="0"/>
                <wp:positionH relativeFrom="column">
                  <wp:posOffset>3457575</wp:posOffset>
                </wp:positionH>
                <wp:positionV relativeFrom="paragraph">
                  <wp:posOffset>622300</wp:posOffset>
                </wp:positionV>
                <wp:extent cx="3203575" cy="1710055"/>
                <wp:effectExtent l="0" t="0" r="0" b="0"/>
                <wp:wrapSquare wrapText="bothSides"/>
                <wp:docPr id="8" name="Text Box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203575" cy="1710055"/>
                        </a:xfrm>
                        <a:prstGeom prst="rect">
                          <a:avLst/>
                        </a:prstGeom>
                        <a:solidFill>
                          <a:srgbClr val="FFFFFF"/>
                        </a:solidFill>
                        <a:ln w="9525">
                          <a:noFill/>
                          <a:miter lim="800000"/>
                          <a:headEnd/>
                          <a:tailEnd/>
                        </a:ln>
                      </wps:spPr>
                      <wps:txbx>
                        <w:txbxContent>
                          <w:p w14:paraId="1AE620F0" w14:textId="77777777" w:rsidR="0034568A" w:rsidRPr="0034568A" w:rsidRDefault="0034568A" w:rsidP="0040732E">
                            <w:pPr>
                              <w:rPr>
                                <w:b/>
                                <w:color w:val="003087"/>
                                <w:sz w:val="10"/>
                              </w:rPr>
                            </w:pPr>
                          </w:p>
                          <w:p w14:paraId="098A64D1" w14:textId="77777777" w:rsidR="0040732E" w:rsidRPr="0010647D" w:rsidRDefault="00722C84" w:rsidP="00BD56AF">
                            <w:pPr>
                              <w:spacing w:line="240" w:lineRule="auto"/>
                              <w:ind w:left="2127" w:hanging="1985"/>
                              <w:rPr>
                                <w:color w:val="003087"/>
                              </w:rPr>
                            </w:pPr>
                            <w:r w:rsidRPr="0010647D">
                              <w:rPr>
                                <w:b/>
                                <w:color w:val="003087"/>
                              </w:rPr>
                              <w:t>Steward</w:t>
                            </w:r>
                            <w:r w:rsidR="0040732E" w:rsidRPr="0010647D">
                              <w:rPr>
                                <w:color w:val="003087"/>
                              </w:rPr>
                              <w:tab/>
                            </w:r>
                            <w:r w:rsidR="00842A9F">
                              <w:rPr>
                                <w:color w:val="003087"/>
                              </w:rPr>
                              <w:t>Vice-Chancellor</w:t>
                            </w:r>
                          </w:p>
                          <w:p w14:paraId="1D4A604C" w14:textId="77777777" w:rsidR="0040732E" w:rsidRDefault="0040732E" w:rsidP="00842A9F">
                            <w:pPr>
                              <w:spacing w:line="240" w:lineRule="auto"/>
                              <w:ind w:left="2127" w:hanging="1985"/>
                              <w:rPr>
                                <w:color w:val="003087"/>
                              </w:rPr>
                            </w:pPr>
                            <w:r w:rsidRPr="0010647D">
                              <w:rPr>
                                <w:b/>
                                <w:color w:val="003087"/>
                              </w:rPr>
                              <w:t>Administrator(s)</w:t>
                            </w:r>
                            <w:r w:rsidR="00722C84" w:rsidRPr="0010647D">
                              <w:rPr>
                                <w:color w:val="003087"/>
                              </w:rPr>
                              <w:tab/>
                            </w:r>
                            <w:r w:rsidR="002A3D06">
                              <w:rPr>
                                <w:color w:val="003087"/>
                              </w:rPr>
                              <w:t>Chief Financial Officer</w:t>
                            </w:r>
                          </w:p>
                          <w:p w14:paraId="495D0A31" w14:textId="77777777" w:rsidR="0040732E" w:rsidRPr="0010647D" w:rsidRDefault="00722C84" w:rsidP="0034568A">
                            <w:pPr>
                              <w:spacing w:line="240" w:lineRule="auto"/>
                              <w:ind w:left="142"/>
                              <w:rPr>
                                <w:b/>
                                <w:color w:val="003087"/>
                              </w:rPr>
                            </w:pPr>
                            <w:r w:rsidRPr="0010647D">
                              <w:rPr>
                                <w:b/>
                                <w:color w:val="003087"/>
                              </w:rPr>
                              <w:t>TRIM File</w:t>
                            </w:r>
                            <w:r w:rsidR="0040732E" w:rsidRPr="0010647D">
                              <w:rPr>
                                <w:b/>
                                <w:color w:val="003087"/>
                              </w:rPr>
                              <w:tab/>
                            </w:r>
                            <w:r w:rsidR="0040732E" w:rsidRPr="0010647D">
                              <w:rPr>
                                <w:b/>
                                <w:color w:val="003087"/>
                              </w:rPr>
                              <w:tab/>
                            </w:r>
                            <w:r w:rsidR="002A3D06">
                              <w:rPr>
                                <w:color w:val="003087"/>
                              </w:rPr>
                              <w:t>F15064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9C9A63" id="_x0000_s1027" type="#_x0000_t202" style="position:absolute;margin-left:272.25pt;margin-top:49pt;width:252.25pt;height:134.65pt;z-index:251656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" stroked="f">
                <o:lock v:ext="edit" aspectratio="t"/>
                <v:textbox>
                  <w:txbxContent>
                    <w:p w14:paraId="1AE620F0" w14:textId="77777777" w:rsidR="0034568A" w:rsidRPr="0034568A" w:rsidRDefault="0034568A" w:rsidP="0040732E">
                      <w:pPr>
                        <w:rPr>
                          <w:b/>
                          <w:color w:val="003087"/>
                          <w:sz w:val="10"/>
                        </w:rPr>
                      </w:pPr>
                    </w:p>
                    <w:p w14:paraId="098A64D1" w14:textId="77777777" w:rsidR="0040732E" w:rsidRPr="0010647D" w:rsidRDefault="00722C84" w:rsidP="00BD56AF">
                      <w:pPr>
                        <w:spacing w:line="240" w:lineRule="auto"/>
                        <w:ind w:left="2127" w:hanging="1985"/>
                        <w:rPr>
                          <w:color w:val="003087"/>
                        </w:rPr>
                      </w:pPr>
                      <w:r w:rsidRPr="0010647D">
                        <w:rPr>
                          <w:b/>
                          <w:color w:val="003087"/>
                        </w:rPr>
                        <w:t>Steward</w:t>
                      </w:r>
                      <w:r w:rsidR="0040732E" w:rsidRPr="0010647D">
                        <w:rPr>
                          <w:color w:val="003087"/>
                        </w:rPr>
                        <w:tab/>
                      </w:r>
                      <w:r w:rsidR="00842A9F">
                        <w:rPr>
                          <w:color w:val="003087"/>
                        </w:rPr>
                        <w:t>Vice-Chancellor</w:t>
                      </w:r>
                    </w:p>
                    <w:p w14:paraId="1D4A604C" w14:textId="77777777" w:rsidR="0040732E" w:rsidRDefault="0040732E" w:rsidP="00842A9F">
                      <w:pPr>
                        <w:spacing w:line="240" w:lineRule="auto"/>
                        <w:ind w:left="2127" w:hanging="1985"/>
                        <w:rPr>
                          <w:color w:val="003087"/>
                        </w:rPr>
                      </w:pPr>
                      <w:r w:rsidRPr="0010647D">
                        <w:rPr>
                          <w:b/>
                          <w:color w:val="003087"/>
                        </w:rPr>
                        <w:t>Administrator(s)</w:t>
                      </w:r>
                      <w:r w:rsidR="00722C84" w:rsidRPr="0010647D">
                        <w:rPr>
                          <w:color w:val="003087"/>
                        </w:rPr>
                        <w:tab/>
                      </w:r>
                      <w:r w:rsidR="002A3D06">
                        <w:rPr>
                          <w:color w:val="003087"/>
                        </w:rPr>
                        <w:t>Chief Financial Officer</w:t>
                      </w:r>
                    </w:p>
                    <w:p w14:paraId="495D0A31" w14:textId="77777777" w:rsidR="0040732E" w:rsidRPr="0010647D" w:rsidRDefault="00722C84" w:rsidP="0034568A">
                      <w:pPr>
                        <w:spacing w:line="240" w:lineRule="auto"/>
                        <w:ind w:left="142"/>
                        <w:rPr>
                          <w:b/>
                          <w:color w:val="003087"/>
                        </w:rPr>
                      </w:pPr>
                      <w:r w:rsidRPr="0010647D">
                        <w:rPr>
                          <w:b/>
                          <w:color w:val="003087"/>
                        </w:rPr>
                        <w:t>TRIM File</w:t>
                      </w:r>
                      <w:r w:rsidR="0040732E" w:rsidRPr="0010647D">
                        <w:rPr>
                          <w:b/>
                          <w:color w:val="003087"/>
                        </w:rPr>
                        <w:tab/>
                      </w:r>
                      <w:r w:rsidR="0040732E" w:rsidRPr="0010647D">
                        <w:rPr>
                          <w:b/>
                          <w:color w:val="003087"/>
                        </w:rPr>
                        <w:tab/>
                      </w:r>
                      <w:r w:rsidR="002A3D06">
                        <w:rPr>
                          <w:color w:val="003087"/>
                        </w:rPr>
                        <w:t>F15064</w:t>
                      </w:r>
                    </w:p>
                  </w:txbxContent>
                </v:textbox>
                <w10:wrap type="square"/>
                <w10:anchorlock/>
              </v:shape>
            </w:pict>
          </mc:Fallback>
        </mc:AlternateContent>
      </w:r>
    </w:p>
    <w:p w14:paraId="758EB4C2" w14:textId="77777777" w:rsidR="00E302DE" w:rsidRDefault="00E302DE" w:rsidP="00E302DE">
      <w:bookmarkStart w:id="0" w:name="_Toc47958420"/>
    </w:p>
    <w:p w14:paraId="7EB9600C" w14:textId="77777777" w:rsidR="00E302DE" w:rsidRDefault="00E302DE" w:rsidP="00E302DE"/>
    <w:p w14:paraId="28A6AA04" w14:textId="77777777" w:rsidR="0010647D" w:rsidRPr="00842A9F" w:rsidRDefault="0010647D" w:rsidP="001918E7">
      <w:pPr>
        <w:pStyle w:val="Heading1"/>
      </w:pPr>
      <w:r w:rsidRPr="00842A9F">
        <w:t>Purpose</w:t>
      </w:r>
      <w:bookmarkEnd w:id="0"/>
    </w:p>
    <w:p w14:paraId="1CD52675" w14:textId="04ACF936" w:rsidR="00BD56AF" w:rsidRPr="00BD56AF" w:rsidRDefault="002A3D06" w:rsidP="008604AC">
      <w:pPr>
        <w:pStyle w:val="Heading4"/>
        <w:jc w:val="both"/>
      </w:pPr>
      <w:r>
        <w:t>T</w:t>
      </w:r>
      <w:r w:rsidRPr="00DF64F8">
        <w:t>he University has established the debt management policy as a governance framework for a</w:t>
      </w:r>
      <w:r w:rsidR="00892CE3">
        <w:t>ll</w:t>
      </w:r>
      <w:r w:rsidRPr="00DF64F8">
        <w:t xml:space="preserve"> external borrowings. This policy was originally approved by Senate in 2006 and sets out requirements in relation to purpose, financial restrictions and ratios, source and structure of borrowings and internal monitoring, reporting </w:t>
      </w:r>
      <w:r>
        <w:t>and accountability requirements</w:t>
      </w:r>
      <w:r w:rsidRPr="00380358">
        <w:t>.</w:t>
      </w:r>
    </w:p>
    <w:p w14:paraId="135C7BE9" w14:textId="1CE4B37F" w:rsidR="00842A9F" w:rsidRDefault="000F48C1" w:rsidP="000F48C1">
      <w:pPr>
        <w:pStyle w:val="Heading4"/>
        <w:ind w:left="709" w:hanging="709"/>
      </w:pPr>
      <w:bookmarkStart w:id="1" w:name="_Toc9321277"/>
      <w:r>
        <w:t xml:space="preserve">Definition: </w:t>
      </w:r>
      <w:r w:rsidRPr="000F48C1">
        <w:t xml:space="preserve">The terms used in this policy are defined </w:t>
      </w:r>
      <w:r>
        <w:t>on page 11.</w:t>
      </w:r>
    </w:p>
    <w:bookmarkEnd w:id="1"/>
    <w:p w14:paraId="5E0A5429" w14:textId="77777777" w:rsidR="002A3D06" w:rsidRPr="002A3D06" w:rsidRDefault="002A3D06" w:rsidP="002A3D06">
      <w:pPr>
        <w:pStyle w:val="Heading1"/>
      </w:pPr>
      <w:r w:rsidRPr="002A3D06">
        <w:t>Application</w:t>
      </w:r>
    </w:p>
    <w:p w14:paraId="69D6DEEF" w14:textId="52D04EF1" w:rsidR="002A3D06" w:rsidRPr="002A3D06" w:rsidRDefault="002A3D06" w:rsidP="002A3D06">
      <w:pPr>
        <w:pStyle w:val="ClauseA"/>
      </w:pPr>
      <w:r w:rsidRPr="002A3D06">
        <w:t>The debt management policy covers the operation of the University’s debt portfolio, primarily established in relation to the University’s capital asset management plan for</w:t>
      </w:r>
      <w:r w:rsidR="002F0E52">
        <w:t>:</w:t>
      </w:r>
    </w:p>
    <w:p w14:paraId="73336843" w14:textId="77777777" w:rsidR="002A3D06" w:rsidRPr="002A3D06" w:rsidRDefault="002A3D06" w:rsidP="002A3D06">
      <w:pPr>
        <w:pStyle w:val="Clause1"/>
      </w:pPr>
      <w:r w:rsidRPr="002A3D06">
        <w:t>Capital assets; and</w:t>
      </w:r>
    </w:p>
    <w:p w14:paraId="1633D2B2" w14:textId="77777777" w:rsidR="002A3D06" w:rsidRPr="002A3D06" w:rsidRDefault="002A3D06" w:rsidP="002A3D06">
      <w:pPr>
        <w:pStyle w:val="Clause1"/>
      </w:pPr>
      <w:r w:rsidRPr="002A3D06">
        <w:t xml:space="preserve">Long term </w:t>
      </w:r>
      <w:r w:rsidR="00D9147A" w:rsidRPr="008604AC">
        <w:t>Real Property Leasehold Interest</w:t>
      </w:r>
      <w:r w:rsidRPr="008604AC">
        <w:t>s</w:t>
      </w:r>
      <w:r w:rsidRPr="00FE5944">
        <w:t>.</w:t>
      </w:r>
      <w:r w:rsidRPr="002A3D06">
        <w:t xml:space="preserve"> </w:t>
      </w:r>
    </w:p>
    <w:p w14:paraId="5D26AFFC" w14:textId="77777777" w:rsidR="002A3D06" w:rsidRPr="002A3D06" w:rsidRDefault="002A3D06" w:rsidP="002A3D06">
      <w:pPr>
        <w:pStyle w:val="ClauseA"/>
      </w:pPr>
      <w:r w:rsidRPr="002A3D06">
        <w:t>The policy applies to all University borrowing from external sources including by way of traditional bank facilities and access to capital markets.</w:t>
      </w:r>
    </w:p>
    <w:p w14:paraId="303A2EAA" w14:textId="77777777" w:rsidR="002A3D06" w:rsidRDefault="002A3D06" w:rsidP="002A3D06">
      <w:pPr>
        <w:pStyle w:val="ClauseA"/>
      </w:pPr>
      <w:r w:rsidRPr="002A3D06">
        <w:t xml:space="preserve">The policy does not apply to debts arising from ordinary operations such as accounts payable, advances, credit card facilities and other amounts owing through the normal course of business. </w:t>
      </w:r>
    </w:p>
    <w:p w14:paraId="431CFA9C" w14:textId="77777777" w:rsidR="002A3D06" w:rsidRPr="002A3D06" w:rsidRDefault="002A3D06" w:rsidP="002A3D06"/>
    <w:p w14:paraId="49C71E1E" w14:textId="77777777" w:rsidR="002A3D06" w:rsidRPr="002A3D06" w:rsidRDefault="002A3D06" w:rsidP="002A3D06">
      <w:pPr>
        <w:pStyle w:val="Heading1"/>
      </w:pPr>
      <w:r w:rsidRPr="002A3D06">
        <w:lastRenderedPageBreak/>
        <w:t>Legal Review</w:t>
      </w:r>
    </w:p>
    <w:p w14:paraId="76DB50DE" w14:textId="77777777" w:rsidR="002A3D06" w:rsidRPr="002A3D06" w:rsidRDefault="002A3D06" w:rsidP="008604AC">
      <w:pPr>
        <w:pStyle w:val="ClauseA"/>
        <w:spacing w:before="120"/>
        <w:ind w:left="862" w:hanging="862"/>
      </w:pPr>
      <w:r w:rsidRPr="002A3D06">
        <w:t>All forms of external finance under the policy are to be established by a written contract.</w:t>
      </w:r>
    </w:p>
    <w:p w14:paraId="56BA4B09" w14:textId="2FD68247" w:rsidR="002A3D06" w:rsidRDefault="002A3D06" w:rsidP="008604AC">
      <w:pPr>
        <w:pStyle w:val="ClauseA"/>
        <w:spacing w:before="120"/>
        <w:ind w:left="862" w:hanging="862"/>
        <w:jc w:val="both"/>
      </w:pPr>
      <w:r w:rsidRPr="002A3D06">
        <w:t xml:space="preserve">The terms of all contracts must be carefully examined and reviewed by </w:t>
      </w:r>
      <w:r w:rsidR="00F10CAC">
        <w:t xml:space="preserve">in-house legal or external </w:t>
      </w:r>
      <w:proofErr w:type="gramStart"/>
      <w:r w:rsidR="00F10CAC">
        <w:t xml:space="preserve">legal </w:t>
      </w:r>
      <w:r w:rsidR="00721B5D">
        <w:t>,</w:t>
      </w:r>
      <w:proofErr w:type="gramEnd"/>
      <w:r w:rsidRPr="002A3D06">
        <w:t xml:space="preserve"> before pursuing any particular course of action.</w:t>
      </w:r>
    </w:p>
    <w:p w14:paraId="2163EE5D" w14:textId="77777777" w:rsidR="002A3D06" w:rsidRPr="002A3D06" w:rsidRDefault="002A3D06" w:rsidP="008604AC">
      <w:pPr>
        <w:pStyle w:val="Heading1"/>
        <w:spacing w:before="120"/>
      </w:pPr>
      <w:r w:rsidRPr="002A3D06">
        <w:t xml:space="preserve">Debt Source </w:t>
      </w:r>
    </w:p>
    <w:p w14:paraId="11BC294C" w14:textId="4A90FEED" w:rsidR="002A3D06" w:rsidRPr="002A3D06" w:rsidRDefault="005C5491" w:rsidP="008604AC">
      <w:pPr>
        <w:pStyle w:val="ClauseA"/>
        <w:spacing w:before="120"/>
        <w:ind w:left="862" w:hanging="862"/>
      </w:pPr>
      <w:r>
        <w:t xml:space="preserve">In accordance with sections 15B, 15C, 15D and 15E of </w:t>
      </w:r>
      <w:r w:rsidRPr="005C5491">
        <w:t>the University of Western Australia Act 1911</w:t>
      </w:r>
      <w:r w:rsidR="00721B5D">
        <w:t xml:space="preserve"> </w:t>
      </w:r>
      <w:r>
        <w:t>the University may borrow through:</w:t>
      </w:r>
    </w:p>
    <w:p w14:paraId="7A891555" w14:textId="3790A0F1" w:rsidR="002A3D06" w:rsidRPr="002A3D06" w:rsidRDefault="002A3D06" w:rsidP="00D52AFF">
      <w:pPr>
        <w:pStyle w:val="Clause1"/>
      </w:pPr>
      <w:r w:rsidRPr="002A3D06">
        <w:t xml:space="preserve">Western Australian Treasury Corporation or other State based </w:t>
      </w:r>
      <w:r w:rsidR="00892CE3">
        <w:t xml:space="preserve">borrowing </w:t>
      </w:r>
      <w:proofErr w:type="gramStart"/>
      <w:r w:rsidR="000A2675">
        <w:t>entities</w:t>
      </w:r>
      <w:r w:rsidRPr="002A3D06">
        <w:t>;</w:t>
      </w:r>
      <w:proofErr w:type="gramEnd"/>
    </w:p>
    <w:p w14:paraId="78045E14" w14:textId="427B0508" w:rsidR="002A3D06" w:rsidRPr="002A3D06" w:rsidRDefault="002A3D06" w:rsidP="00D52AFF">
      <w:pPr>
        <w:pStyle w:val="Clause1"/>
      </w:pPr>
      <w:r w:rsidRPr="002A3D06">
        <w:t>ADI’s or other lending institutions; or</w:t>
      </w:r>
    </w:p>
    <w:p w14:paraId="5A9A1D60" w14:textId="3C2F242F" w:rsidR="002A3D06" w:rsidRDefault="000A2675" w:rsidP="008604AC">
      <w:pPr>
        <w:pStyle w:val="Clause1"/>
        <w:spacing w:after="120"/>
      </w:pPr>
      <w:r w:rsidRPr="002A3D06">
        <w:t>D</w:t>
      </w:r>
      <w:r>
        <w:t>ebt</w:t>
      </w:r>
      <w:r w:rsidRPr="002A3D06">
        <w:t xml:space="preserve"> </w:t>
      </w:r>
      <w:r w:rsidR="002A3D06" w:rsidRPr="002A3D06">
        <w:t>capital market</w:t>
      </w:r>
      <w:r w:rsidR="006430CA">
        <w:t>s</w:t>
      </w:r>
      <w:r w:rsidR="002A3D06" w:rsidRPr="002A3D06">
        <w:t>.</w:t>
      </w:r>
    </w:p>
    <w:p w14:paraId="11F52525" w14:textId="44EFFEC7" w:rsidR="005C5491" w:rsidRPr="002A3D06" w:rsidRDefault="005C5491" w:rsidP="008604AC">
      <w:pPr>
        <w:pStyle w:val="Clause1"/>
        <w:numPr>
          <w:ilvl w:val="0"/>
          <w:numId w:val="0"/>
        </w:numPr>
        <w:ind w:left="709"/>
      </w:pPr>
      <w:r w:rsidRPr="005C5491">
        <w:t>Debt shall be obtained in aggregate amounts of $1,000,000.</w:t>
      </w:r>
    </w:p>
    <w:p w14:paraId="6565CC4E" w14:textId="46F7672D" w:rsidR="002A3D06" w:rsidRPr="002A3D06" w:rsidRDefault="002A3D06" w:rsidP="008604AC">
      <w:pPr>
        <w:pStyle w:val="ClauseA"/>
        <w:spacing w:before="120"/>
        <w:ind w:left="862" w:hanging="862"/>
      </w:pPr>
      <w:r w:rsidRPr="002A3D06">
        <w:t xml:space="preserve">The following shall be </w:t>
      </w:r>
      <w:proofErr w:type="gramStart"/>
      <w:r w:rsidRPr="002A3D06">
        <w:t>taken into account</w:t>
      </w:r>
      <w:proofErr w:type="gramEnd"/>
      <w:r w:rsidRPr="002A3D06">
        <w:t xml:space="preserve"> when determining source of debt financing</w:t>
      </w:r>
      <w:r w:rsidR="000A2675">
        <w:t>:</w:t>
      </w:r>
    </w:p>
    <w:p w14:paraId="0D5BC3C6" w14:textId="77777777" w:rsidR="002A3D06" w:rsidRPr="002A3D06" w:rsidRDefault="002A3D06" w:rsidP="00D52AFF">
      <w:pPr>
        <w:pStyle w:val="Clause1"/>
      </w:pPr>
      <w:r w:rsidRPr="002A3D06">
        <w:t xml:space="preserve">the relative cost of capital, terms and form of debt products that can be obtained from the </w:t>
      </w:r>
      <w:proofErr w:type="gramStart"/>
      <w:r w:rsidRPr="002A3D06">
        <w:t>financier;</w:t>
      </w:r>
      <w:proofErr w:type="gramEnd"/>
      <w:r w:rsidRPr="002A3D06">
        <w:t xml:space="preserve"> </w:t>
      </w:r>
    </w:p>
    <w:p w14:paraId="14724AF0" w14:textId="77777777" w:rsidR="002A3D06" w:rsidRPr="002A3D06" w:rsidRDefault="002A3D06" w:rsidP="00D52AFF">
      <w:pPr>
        <w:pStyle w:val="Clause1"/>
      </w:pPr>
      <w:r w:rsidRPr="002A3D06">
        <w:t>the current level of credit facilities with the financier and the ability and timeframe to increase or establish credit facility limits; and</w:t>
      </w:r>
    </w:p>
    <w:p w14:paraId="7FB1A204" w14:textId="1C3E0EE1" w:rsidR="002A3D06" w:rsidRPr="002A3D06" w:rsidRDefault="002A3D06" w:rsidP="00D52AFF">
      <w:pPr>
        <w:pStyle w:val="Clause1"/>
      </w:pPr>
      <w:r w:rsidRPr="002A3D06">
        <w:t>the provision of specialist financing skills desirable to the financing arrangement.</w:t>
      </w:r>
    </w:p>
    <w:p w14:paraId="5CA16292" w14:textId="77777777" w:rsidR="002A3D06" w:rsidRPr="002A3D06" w:rsidRDefault="002A3D06" w:rsidP="008604AC">
      <w:pPr>
        <w:pStyle w:val="ClauseA"/>
        <w:spacing w:before="120"/>
        <w:ind w:left="862" w:hanging="862"/>
      </w:pPr>
      <w:r w:rsidRPr="002A3D06">
        <w:t>The University will seek to borrow funds at the lowest cost of capital within the context of a risk management framework after consideration of cost of borrowing, associated fees and charges and administration requirements and specific contractual requirements including guarantee provisions and charge over assets.</w:t>
      </w:r>
    </w:p>
    <w:p w14:paraId="364F6344" w14:textId="4E980481" w:rsidR="002A3D06" w:rsidRPr="002A3D06" w:rsidRDefault="002A3D06" w:rsidP="008604AC">
      <w:pPr>
        <w:pStyle w:val="ClauseA"/>
        <w:spacing w:before="120"/>
        <w:ind w:left="862" w:hanging="862"/>
      </w:pPr>
      <w:r w:rsidRPr="002A3D06">
        <w:t>Wherever possible, the University shall borrow funds on an unsecured or a floating charge basis. The University may seek to borrow on an unsecured basis subject to the Treasurers Guarantee as permitted under the University of Western Australia Act 1911.</w:t>
      </w:r>
    </w:p>
    <w:p w14:paraId="1E9FF495" w14:textId="38F1AB2C" w:rsidR="002A3D06" w:rsidRPr="002A3D06" w:rsidRDefault="002A3D06" w:rsidP="008604AC">
      <w:pPr>
        <w:pStyle w:val="ClauseA"/>
        <w:spacing w:before="120"/>
        <w:ind w:left="862" w:hanging="862"/>
      </w:pPr>
      <w:r w:rsidRPr="002A3D06">
        <w:t>The term of borrowings shall be based on the following as appropriate for the type of borrowing</w:t>
      </w:r>
      <w:r w:rsidR="000A2675">
        <w:t>:</w:t>
      </w:r>
    </w:p>
    <w:p w14:paraId="7976B98A" w14:textId="77777777" w:rsidR="002A3D06" w:rsidRPr="002A3D06" w:rsidRDefault="002A3D06" w:rsidP="00520948">
      <w:pPr>
        <w:pStyle w:val="Clause1"/>
      </w:pPr>
      <w:r w:rsidRPr="002A3D06">
        <w:t xml:space="preserve">The purpose of the borrowings; University-supported capital assets, </w:t>
      </w:r>
      <w:r w:rsidR="00D9147A" w:rsidRPr="008604AC">
        <w:t>Self-Supported Capital Asset</w:t>
      </w:r>
      <w:r w:rsidRPr="008604AC">
        <w:t>s</w:t>
      </w:r>
      <w:r w:rsidRPr="002A3D06">
        <w:t xml:space="preserve"> or </w:t>
      </w:r>
      <w:proofErr w:type="gramStart"/>
      <w:r w:rsidRPr="002A3D06">
        <w:t>liquidity;</w:t>
      </w:r>
      <w:proofErr w:type="gramEnd"/>
    </w:p>
    <w:p w14:paraId="5AB8D2ED" w14:textId="77777777" w:rsidR="002A3D06" w:rsidRPr="002A3D06" w:rsidRDefault="002A3D06" w:rsidP="00520948">
      <w:pPr>
        <w:pStyle w:val="Clause1"/>
      </w:pPr>
      <w:r w:rsidRPr="002A3D06">
        <w:t xml:space="preserve">The average useful life of capital projects or the expected useful life of the self-supporting capital </w:t>
      </w:r>
      <w:proofErr w:type="gramStart"/>
      <w:r w:rsidRPr="002A3D06">
        <w:t>asset;</w:t>
      </w:r>
      <w:proofErr w:type="gramEnd"/>
    </w:p>
    <w:p w14:paraId="7F80A83C" w14:textId="2A1392BF" w:rsidR="002A3D06" w:rsidRPr="002A3D06" w:rsidRDefault="002A3D06" w:rsidP="00520948">
      <w:pPr>
        <w:pStyle w:val="Clause1"/>
      </w:pPr>
      <w:r w:rsidRPr="002A3D06">
        <w:t xml:space="preserve">The term the self-supporting asset generate sufficient additional net revenue to meet interest and principal repayments; </w:t>
      </w:r>
      <w:r w:rsidR="00FE5944">
        <w:t>and</w:t>
      </w:r>
    </w:p>
    <w:p w14:paraId="05C2F359" w14:textId="77777777" w:rsidR="002A3D06" w:rsidRPr="002A3D06" w:rsidRDefault="002A3D06" w:rsidP="00520948">
      <w:pPr>
        <w:pStyle w:val="Clause1"/>
      </w:pPr>
      <w:r w:rsidRPr="002A3D06">
        <w:t>A term of 10 years, or a lesser average term for rolling long-term facilities or where specifically approved by Senate.</w:t>
      </w:r>
    </w:p>
    <w:p w14:paraId="22FE4007" w14:textId="448747F1" w:rsidR="002A3D06" w:rsidRDefault="002A3D06" w:rsidP="008604AC">
      <w:pPr>
        <w:pStyle w:val="ClauseA"/>
        <w:spacing w:before="120"/>
        <w:ind w:left="862" w:hanging="862"/>
      </w:pPr>
      <w:r w:rsidRPr="002A3D06">
        <w:t xml:space="preserve">Self-supported capital borrowings impact the total amount of borrowings available for the University. </w:t>
      </w:r>
    </w:p>
    <w:p w14:paraId="0EEB03D8" w14:textId="77777777" w:rsidR="00520948" w:rsidRPr="002A3D06" w:rsidRDefault="00520948" w:rsidP="00520948"/>
    <w:p w14:paraId="68FF2AE4" w14:textId="77777777" w:rsidR="002A3D06" w:rsidRPr="002A3D06" w:rsidRDefault="002A3D06" w:rsidP="00520948">
      <w:pPr>
        <w:pStyle w:val="Heading1"/>
      </w:pPr>
      <w:r w:rsidRPr="002A3D06">
        <w:lastRenderedPageBreak/>
        <w:t xml:space="preserve">Debt Structure </w:t>
      </w:r>
    </w:p>
    <w:p w14:paraId="201D5A3A" w14:textId="2A407673" w:rsidR="002A3D06" w:rsidRPr="002A3D06" w:rsidRDefault="002A3D06" w:rsidP="008604AC">
      <w:pPr>
        <w:pStyle w:val="ClauseA"/>
        <w:jc w:val="both"/>
      </w:pPr>
      <w:r w:rsidRPr="002A3D06">
        <w:t>The University’s external financing operations shall be managed on a portfolio basis to ensure a coordinated approach and to optimise portfolio effectiveness. Any borrowings in relation to specific activities must be assessed as part of the University’s debt portfolio.</w:t>
      </w:r>
    </w:p>
    <w:p w14:paraId="211B1E0B" w14:textId="77777777" w:rsidR="002A3D06" w:rsidRPr="002A3D06" w:rsidRDefault="002A3D06" w:rsidP="00520948">
      <w:pPr>
        <w:pStyle w:val="ClauseA"/>
      </w:pPr>
      <w:r w:rsidRPr="002A3D06">
        <w:t>The debt structure shall be determined based on the dual objectives of lowering the average cost of capital and providing budget and cash flow certainty within an acceptable level of risk, over time.</w:t>
      </w:r>
    </w:p>
    <w:p w14:paraId="285C3D9A" w14:textId="77777777" w:rsidR="002A3D06" w:rsidRPr="002A3D06" w:rsidRDefault="002A3D06" w:rsidP="00520948">
      <w:pPr>
        <w:pStyle w:val="ClauseA"/>
      </w:pPr>
      <w:r w:rsidRPr="002A3D06">
        <w:t xml:space="preserve">The debt portfolio shall be diversified across a range of debt maturities and interest rate exposures, </w:t>
      </w:r>
      <w:proofErr w:type="gramStart"/>
      <w:r w:rsidRPr="002A3D06">
        <w:t>so as to</w:t>
      </w:r>
      <w:proofErr w:type="gramEnd"/>
      <w:r w:rsidRPr="002A3D06">
        <w:t xml:space="preserve"> provide characteristics of both fixed and variable rate debt over varying time horizons.</w:t>
      </w:r>
    </w:p>
    <w:p w14:paraId="75B3F9DC" w14:textId="77777777" w:rsidR="002A3D06" w:rsidRPr="002A3D06" w:rsidRDefault="002A3D06" w:rsidP="00520948">
      <w:pPr>
        <w:pStyle w:val="ClauseA"/>
      </w:pPr>
      <w:r w:rsidRPr="002A3D06">
        <w:t xml:space="preserve">A mix of fixed and floating rate debt may be desirable to minimise both cost of capital and risk. The mix shall be determined </w:t>
      </w:r>
      <w:proofErr w:type="gramStart"/>
      <w:r w:rsidRPr="002A3D06">
        <w:t>in light of</w:t>
      </w:r>
      <w:proofErr w:type="gramEnd"/>
      <w:r w:rsidRPr="002A3D06">
        <w:t xml:space="preserve"> the borrowing environment and purpose.</w:t>
      </w:r>
    </w:p>
    <w:p w14:paraId="1485609D" w14:textId="77777777" w:rsidR="002A3D06" w:rsidRPr="002A3D06" w:rsidRDefault="002A3D06" w:rsidP="00520948">
      <w:pPr>
        <w:pStyle w:val="ClauseA"/>
      </w:pPr>
      <w:r w:rsidRPr="002A3D06">
        <w:t>The University is required to structure the debt portfolio within the minimum and maximum ranges outlined in Table A, subject to approved drawdown transitional arrangements. Any variation will require specific management and Executive approval.</w:t>
      </w:r>
    </w:p>
    <w:p w14:paraId="5BD82BE5" w14:textId="77777777" w:rsidR="002A3D06" w:rsidRPr="002A3D06" w:rsidRDefault="008645AB" w:rsidP="002A3D06">
      <w:pPr>
        <w:rPr>
          <w:rFonts w:eastAsia="Times New Roman"/>
          <w:b/>
          <w:color w:val="003087"/>
          <w:sz w:val="32"/>
          <w:szCs w:val="32"/>
        </w:rPr>
      </w:pPr>
      <w:r>
        <w:rPr>
          <w:rFonts w:eastAsia="Times New Roman"/>
          <w:b/>
          <w:color w:val="003087"/>
          <w:sz w:val="32"/>
          <w:szCs w:val="32"/>
        </w:rPr>
        <w:br w:type="page"/>
      </w:r>
      <w:r w:rsidR="002A3D06" w:rsidRPr="002A3D06">
        <w:rPr>
          <w:rFonts w:eastAsia="Times New Roman"/>
          <w:b/>
          <w:color w:val="003087"/>
          <w:sz w:val="32"/>
          <w:szCs w:val="32"/>
        </w:rPr>
        <w:lastRenderedPageBreak/>
        <w:t>Table A – Portfolio Structure Range</w:t>
      </w:r>
    </w:p>
    <w:p w14:paraId="0F18C743" w14:textId="77777777" w:rsidR="002A3D06" w:rsidRPr="002A3D06" w:rsidRDefault="002A3D06" w:rsidP="002A3D06">
      <w:pPr>
        <w:rPr>
          <w:rFonts w:eastAsia="Times New Roman"/>
          <w:b/>
          <w:color w:val="003087"/>
          <w:sz w:val="32"/>
          <w:szCs w:val="3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A0" w:firstRow="1" w:lastRow="0" w:firstColumn="1" w:lastColumn="0" w:noHBand="0" w:noVBand="0"/>
      </w:tblPr>
      <w:tblGrid>
        <w:gridCol w:w="5404"/>
        <w:gridCol w:w="2405"/>
        <w:gridCol w:w="2647"/>
      </w:tblGrid>
      <w:tr w:rsidR="00520948" w:rsidRPr="00D6726A" w14:paraId="7C9B56A6" w14:textId="77777777" w:rsidTr="00AE61B4">
        <w:trPr>
          <w:trHeight w:val="595"/>
        </w:trPr>
        <w:tc>
          <w:tcPr>
            <w:tcW w:w="2584" w:type="pct"/>
            <w:shd w:val="clear" w:color="auto" w:fill="2F5496"/>
            <w:vAlign w:val="center"/>
          </w:tcPr>
          <w:p w14:paraId="44A10B5D" w14:textId="77777777" w:rsidR="00520948" w:rsidRPr="00AE61B4" w:rsidRDefault="00520948" w:rsidP="007E3C68">
            <w:pPr>
              <w:spacing w:before="60" w:after="60"/>
              <w:rPr>
                <w:rFonts w:cs="Arial"/>
                <w:b/>
                <w:color w:val="FFFFFF"/>
                <w:sz w:val="28"/>
                <w:szCs w:val="28"/>
              </w:rPr>
            </w:pPr>
            <w:r w:rsidRPr="00AE61B4">
              <w:rPr>
                <w:rFonts w:cs="Arial"/>
                <w:b/>
                <w:color w:val="FFFFFF"/>
                <w:sz w:val="28"/>
                <w:szCs w:val="28"/>
              </w:rPr>
              <w:t>Portfolio Structure Range</w:t>
            </w:r>
          </w:p>
        </w:tc>
        <w:tc>
          <w:tcPr>
            <w:tcW w:w="1150" w:type="pct"/>
            <w:shd w:val="clear" w:color="auto" w:fill="2F5496"/>
            <w:vAlign w:val="center"/>
          </w:tcPr>
          <w:p w14:paraId="713DC733" w14:textId="77777777" w:rsidR="00520948" w:rsidRPr="00AE61B4" w:rsidRDefault="00520948" w:rsidP="007E3C68">
            <w:pPr>
              <w:spacing w:before="60" w:after="60"/>
              <w:jc w:val="center"/>
              <w:rPr>
                <w:rFonts w:cs="Arial"/>
                <w:color w:val="FFFFFF"/>
                <w:sz w:val="28"/>
                <w:szCs w:val="28"/>
              </w:rPr>
            </w:pPr>
            <w:r w:rsidRPr="00AE61B4">
              <w:rPr>
                <w:rFonts w:cs="Arial"/>
                <w:color w:val="FFFFFF"/>
                <w:sz w:val="28"/>
                <w:szCs w:val="28"/>
              </w:rPr>
              <w:t>Minimum</w:t>
            </w:r>
          </w:p>
        </w:tc>
        <w:tc>
          <w:tcPr>
            <w:tcW w:w="1266" w:type="pct"/>
            <w:shd w:val="clear" w:color="auto" w:fill="2F5496"/>
            <w:vAlign w:val="center"/>
          </w:tcPr>
          <w:p w14:paraId="6A0FD640" w14:textId="77777777" w:rsidR="00520948" w:rsidRPr="00AE61B4" w:rsidRDefault="00520948" w:rsidP="007E3C68">
            <w:pPr>
              <w:spacing w:before="60" w:after="60"/>
              <w:jc w:val="center"/>
              <w:rPr>
                <w:rFonts w:cs="Arial"/>
                <w:color w:val="FFFFFF"/>
                <w:sz w:val="28"/>
                <w:szCs w:val="28"/>
              </w:rPr>
            </w:pPr>
            <w:r w:rsidRPr="00AE61B4">
              <w:rPr>
                <w:rFonts w:cs="Arial"/>
                <w:color w:val="FFFFFF"/>
                <w:sz w:val="28"/>
                <w:szCs w:val="28"/>
              </w:rPr>
              <w:t>Maximum</w:t>
            </w:r>
          </w:p>
        </w:tc>
      </w:tr>
      <w:tr w:rsidR="000A3F57" w:rsidRPr="00D6726A" w14:paraId="43D3E75A" w14:textId="77777777" w:rsidTr="00AE61B4">
        <w:trPr>
          <w:trHeight w:val="595"/>
        </w:trPr>
        <w:tc>
          <w:tcPr>
            <w:tcW w:w="5000" w:type="pct"/>
            <w:gridSpan w:val="3"/>
            <w:shd w:val="clear" w:color="auto" w:fill="B4C6E7"/>
            <w:vAlign w:val="center"/>
          </w:tcPr>
          <w:p w14:paraId="6E5812BE" w14:textId="77777777" w:rsidR="000A3F57" w:rsidRPr="000A3F57" w:rsidRDefault="000A3F57" w:rsidP="000A3F57">
            <w:pPr>
              <w:pStyle w:val="ListParagraph"/>
              <w:numPr>
                <w:ilvl w:val="0"/>
                <w:numId w:val="0"/>
              </w:numPr>
              <w:spacing w:before="60" w:after="60"/>
              <w:ind w:left="360"/>
              <w:rPr>
                <w:rFonts w:cs="Arial"/>
              </w:rPr>
            </w:pPr>
            <w:r w:rsidRPr="000A3F57">
              <w:rPr>
                <w:rFonts w:cs="Arial"/>
                <w:b/>
              </w:rPr>
              <w:t>Interest Rate Exposure</w:t>
            </w:r>
          </w:p>
        </w:tc>
      </w:tr>
      <w:tr w:rsidR="00520948" w:rsidRPr="00D6726A" w14:paraId="238AA1FD" w14:textId="77777777" w:rsidTr="007E3C68">
        <w:trPr>
          <w:trHeight w:val="595"/>
        </w:trPr>
        <w:tc>
          <w:tcPr>
            <w:tcW w:w="2584" w:type="pct"/>
            <w:vAlign w:val="center"/>
          </w:tcPr>
          <w:p w14:paraId="335F49ED" w14:textId="77777777" w:rsidR="00520948" w:rsidRPr="000A3F57" w:rsidRDefault="00520948" w:rsidP="000A3F57">
            <w:pPr>
              <w:spacing w:before="60" w:after="60"/>
              <w:ind w:left="360"/>
              <w:rPr>
                <w:rFonts w:cs="Arial"/>
              </w:rPr>
            </w:pPr>
            <w:r w:rsidRPr="000A3F57">
              <w:rPr>
                <w:rFonts w:cs="Arial"/>
              </w:rPr>
              <w:t>Fixed Rate</w:t>
            </w:r>
          </w:p>
        </w:tc>
        <w:tc>
          <w:tcPr>
            <w:tcW w:w="1150" w:type="pct"/>
            <w:vAlign w:val="center"/>
          </w:tcPr>
          <w:p w14:paraId="69A3E7F4" w14:textId="77777777" w:rsidR="00520948" w:rsidRPr="000A3F57" w:rsidRDefault="00520948" w:rsidP="000A3F57">
            <w:pPr>
              <w:pStyle w:val="ListParagraph"/>
              <w:numPr>
                <w:ilvl w:val="0"/>
                <w:numId w:val="0"/>
              </w:numPr>
              <w:spacing w:before="60" w:after="60"/>
              <w:ind w:left="360" w:right="584"/>
              <w:jc w:val="center"/>
              <w:rPr>
                <w:rFonts w:cs="Arial"/>
              </w:rPr>
            </w:pPr>
            <w:r w:rsidRPr="000A3F57">
              <w:rPr>
                <w:rFonts w:cs="Arial"/>
              </w:rPr>
              <w:t>50%</w:t>
            </w:r>
          </w:p>
        </w:tc>
        <w:tc>
          <w:tcPr>
            <w:tcW w:w="1266" w:type="pct"/>
            <w:vAlign w:val="center"/>
          </w:tcPr>
          <w:p w14:paraId="50067A32" w14:textId="77777777" w:rsidR="00520948" w:rsidRPr="000A3F57" w:rsidRDefault="00520948" w:rsidP="000A3F57">
            <w:pPr>
              <w:pStyle w:val="ListParagraph"/>
              <w:numPr>
                <w:ilvl w:val="0"/>
                <w:numId w:val="0"/>
              </w:numPr>
              <w:spacing w:before="60" w:after="60"/>
              <w:ind w:left="360" w:right="584"/>
              <w:jc w:val="center"/>
              <w:rPr>
                <w:rFonts w:cs="Arial"/>
              </w:rPr>
            </w:pPr>
            <w:r w:rsidRPr="000A3F57">
              <w:rPr>
                <w:rFonts w:cs="Arial"/>
              </w:rPr>
              <w:t>100%</w:t>
            </w:r>
          </w:p>
        </w:tc>
      </w:tr>
      <w:tr w:rsidR="00520948" w:rsidRPr="00D6726A" w14:paraId="02557C09" w14:textId="77777777" w:rsidTr="007E3C68">
        <w:trPr>
          <w:trHeight w:val="595"/>
        </w:trPr>
        <w:tc>
          <w:tcPr>
            <w:tcW w:w="2584" w:type="pct"/>
            <w:vAlign w:val="center"/>
          </w:tcPr>
          <w:p w14:paraId="187527E0" w14:textId="77777777" w:rsidR="00520948" w:rsidRPr="000A3F57" w:rsidRDefault="00520948" w:rsidP="000A3F57">
            <w:pPr>
              <w:spacing w:before="60" w:after="60"/>
              <w:ind w:left="360"/>
              <w:rPr>
                <w:rFonts w:cs="Arial"/>
              </w:rPr>
            </w:pPr>
            <w:r w:rsidRPr="000A3F57">
              <w:rPr>
                <w:rFonts w:cs="Arial"/>
              </w:rPr>
              <w:t>Floating Rate</w:t>
            </w:r>
          </w:p>
        </w:tc>
        <w:tc>
          <w:tcPr>
            <w:tcW w:w="1150" w:type="pct"/>
            <w:vAlign w:val="center"/>
          </w:tcPr>
          <w:p w14:paraId="6187825B" w14:textId="77777777" w:rsidR="00520948" w:rsidRPr="000A3F57" w:rsidRDefault="00520948" w:rsidP="000A3F57">
            <w:pPr>
              <w:pStyle w:val="ListParagraph"/>
              <w:numPr>
                <w:ilvl w:val="0"/>
                <w:numId w:val="0"/>
              </w:numPr>
              <w:spacing w:before="60" w:after="60"/>
              <w:ind w:left="360" w:right="584"/>
              <w:jc w:val="center"/>
              <w:rPr>
                <w:rFonts w:cs="Arial"/>
              </w:rPr>
            </w:pPr>
            <w:r w:rsidRPr="000A3F57">
              <w:rPr>
                <w:rFonts w:cs="Arial"/>
              </w:rPr>
              <w:t>0%</w:t>
            </w:r>
          </w:p>
        </w:tc>
        <w:tc>
          <w:tcPr>
            <w:tcW w:w="1266" w:type="pct"/>
            <w:vAlign w:val="center"/>
          </w:tcPr>
          <w:p w14:paraId="26A0CFED" w14:textId="77777777" w:rsidR="00520948" w:rsidRPr="000A3F57" w:rsidRDefault="00520948" w:rsidP="000A3F57">
            <w:pPr>
              <w:pStyle w:val="ListParagraph"/>
              <w:numPr>
                <w:ilvl w:val="0"/>
                <w:numId w:val="0"/>
              </w:numPr>
              <w:spacing w:before="60" w:after="60"/>
              <w:ind w:left="360" w:right="584"/>
              <w:jc w:val="center"/>
              <w:rPr>
                <w:rFonts w:cs="Arial"/>
              </w:rPr>
            </w:pPr>
            <w:r w:rsidRPr="000A3F57">
              <w:rPr>
                <w:rFonts w:cs="Arial"/>
              </w:rPr>
              <w:t>50%</w:t>
            </w:r>
          </w:p>
        </w:tc>
      </w:tr>
      <w:tr w:rsidR="000A3F57" w:rsidRPr="00D6726A" w14:paraId="7B5721D1" w14:textId="77777777" w:rsidTr="00AE61B4">
        <w:trPr>
          <w:trHeight w:val="595"/>
        </w:trPr>
        <w:tc>
          <w:tcPr>
            <w:tcW w:w="5000" w:type="pct"/>
            <w:gridSpan w:val="3"/>
            <w:shd w:val="clear" w:color="auto" w:fill="B4C6E7"/>
            <w:vAlign w:val="center"/>
          </w:tcPr>
          <w:p w14:paraId="24841CF1" w14:textId="77777777" w:rsidR="000A3F57" w:rsidRPr="000A3F57" w:rsidRDefault="000A3F57" w:rsidP="000A3F57">
            <w:pPr>
              <w:pStyle w:val="ListParagraph"/>
              <w:numPr>
                <w:ilvl w:val="0"/>
                <w:numId w:val="0"/>
              </w:numPr>
              <w:spacing w:before="60" w:after="60"/>
              <w:ind w:left="360" w:right="584"/>
              <w:rPr>
                <w:rFonts w:cs="Arial"/>
              </w:rPr>
            </w:pPr>
            <w:r w:rsidRPr="000A3F57">
              <w:rPr>
                <w:rFonts w:cs="Arial"/>
                <w:b/>
              </w:rPr>
              <w:t>Maturity Term</w:t>
            </w:r>
          </w:p>
        </w:tc>
      </w:tr>
      <w:tr w:rsidR="00520948" w:rsidRPr="00D6726A" w14:paraId="4987F2D7" w14:textId="77777777" w:rsidTr="007E3C68">
        <w:trPr>
          <w:trHeight w:val="595"/>
        </w:trPr>
        <w:tc>
          <w:tcPr>
            <w:tcW w:w="2584" w:type="pct"/>
            <w:vAlign w:val="center"/>
          </w:tcPr>
          <w:p w14:paraId="58B93EB8" w14:textId="77777777" w:rsidR="00520948" w:rsidRPr="000A3F57" w:rsidRDefault="00520948" w:rsidP="000A3F57">
            <w:pPr>
              <w:spacing w:before="60" w:after="60"/>
              <w:ind w:left="360"/>
              <w:rPr>
                <w:rFonts w:cs="Arial"/>
              </w:rPr>
            </w:pPr>
            <w:r w:rsidRPr="000A3F57">
              <w:rPr>
                <w:rFonts w:cs="Arial"/>
              </w:rPr>
              <w:t>Current Maturities</w:t>
            </w:r>
          </w:p>
        </w:tc>
        <w:tc>
          <w:tcPr>
            <w:tcW w:w="1150" w:type="pct"/>
            <w:vAlign w:val="center"/>
          </w:tcPr>
          <w:p w14:paraId="55A7F2FB" w14:textId="77777777" w:rsidR="00520948" w:rsidRPr="000A3F57" w:rsidRDefault="00520948" w:rsidP="000A3F57">
            <w:pPr>
              <w:pStyle w:val="ListParagraph"/>
              <w:numPr>
                <w:ilvl w:val="0"/>
                <w:numId w:val="0"/>
              </w:numPr>
              <w:spacing w:before="60" w:after="60"/>
              <w:ind w:left="360" w:right="584"/>
              <w:jc w:val="center"/>
              <w:rPr>
                <w:rFonts w:cs="Arial"/>
              </w:rPr>
            </w:pPr>
            <w:r w:rsidRPr="000A3F57">
              <w:rPr>
                <w:rFonts w:cs="Arial"/>
              </w:rPr>
              <w:t>0%</w:t>
            </w:r>
          </w:p>
        </w:tc>
        <w:tc>
          <w:tcPr>
            <w:tcW w:w="1266" w:type="pct"/>
            <w:vAlign w:val="center"/>
          </w:tcPr>
          <w:p w14:paraId="272174BB" w14:textId="77777777" w:rsidR="00520948" w:rsidRPr="000A3F57" w:rsidRDefault="00520948" w:rsidP="000A3F57">
            <w:pPr>
              <w:pStyle w:val="ListParagraph"/>
              <w:numPr>
                <w:ilvl w:val="0"/>
                <w:numId w:val="0"/>
              </w:numPr>
              <w:spacing w:before="60" w:after="60"/>
              <w:ind w:left="360" w:right="584"/>
              <w:jc w:val="center"/>
              <w:rPr>
                <w:rFonts w:cs="Arial"/>
              </w:rPr>
            </w:pPr>
            <w:r w:rsidRPr="000A3F57">
              <w:rPr>
                <w:rFonts w:cs="Arial"/>
              </w:rPr>
              <w:t>30%</w:t>
            </w:r>
          </w:p>
        </w:tc>
      </w:tr>
      <w:tr w:rsidR="00520948" w:rsidRPr="00D6726A" w14:paraId="73A8CBD2" w14:textId="77777777" w:rsidTr="007E3C68">
        <w:trPr>
          <w:trHeight w:val="595"/>
        </w:trPr>
        <w:tc>
          <w:tcPr>
            <w:tcW w:w="2584" w:type="pct"/>
            <w:vAlign w:val="center"/>
          </w:tcPr>
          <w:p w14:paraId="7F7BF1D3" w14:textId="77777777" w:rsidR="00520948" w:rsidRPr="000A3F57" w:rsidRDefault="00520948" w:rsidP="000A3F57">
            <w:pPr>
              <w:spacing w:before="60" w:after="60"/>
              <w:ind w:left="360"/>
              <w:rPr>
                <w:rFonts w:cs="Arial"/>
              </w:rPr>
            </w:pPr>
            <w:r w:rsidRPr="000A3F57">
              <w:rPr>
                <w:rFonts w:cs="Arial"/>
              </w:rPr>
              <w:t>Non-Current Maturities</w:t>
            </w:r>
          </w:p>
        </w:tc>
        <w:tc>
          <w:tcPr>
            <w:tcW w:w="1150" w:type="pct"/>
            <w:vAlign w:val="center"/>
          </w:tcPr>
          <w:p w14:paraId="50F9360B" w14:textId="77777777" w:rsidR="00520948" w:rsidRPr="000A3F57" w:rsidRDefault="00520948" w:rsidP="000A3F57">
            <w:pPr>
              <w:pStyle w:val="ListParagraph"/>
              <w:numPr>
                <w:ilvl w:val="0"/>
                <w:numId w:val="0"/>
              </w:numPr>
              <w:spacing w:before="60" w:after="60"/>
              <w:ind w:left="360" w:right="584"/>
              <w:jc w:val="center"/>
              <w:rPr>
                <w:rFonts w:cs="Arial"/>
              </w:rPr>
            </w:pPr>
            <w:r w:rsidRPr="000A3F57">
              <w:rPr>
                <w:rFonts w:cs="Arial"/>
              </w:rPr>
              <w:t>70%</w:t>
            </w:r>
          </w:p>
        </w:tc>
        <w:tc>
          <w:tcPr>
            <w:tcW w:w="1266" w:type="pct"/>
            <w:vAlign w:val="center"/>
          </w:tcPr>
          <w:p w14:paraId="039B30B9" w14:textId="77777777" w:rsidR="00520948" w:rsidRPr="000A3F57" w:rsidRDefault="00520948" w:rsidP="000A3F57">
            <w:pPr>
              <w:pStyle w:val="ListParagraph"/>
              <w:numPr>
                <w:ilvl w:val="0"/>
                <w:numId w:val="0"/>
              </w:numPr>
              <w:spacing w:before="60" w:after="60"/>
              <w:ind w:left="360" w:right="584"/>
              <w:jc w:val="center"/>
              <w:rPr>
                <w:rFonts w:cs="Arial"/>
              </w:rPr>
            </w:pPr>
            <w:r w:rsidRPr="000A3F57">
              <w:rPr>
                <w:rFonts w:cs="Arial"/>
              </w:rPr>
              <w:t>100%</w:t>
            </w:r>
          </w:p>
        </w:tc>
      </w:tr>
    </w:tbl>
    <w:p w14:paraId="2DA03459" w14:textId="77777777" w:rsidR="002A3D06" w:rsidRPr="002A3D06" w:rsidRDefault="002A3D06" w:rsidP="002A3D06">
      <w:pPr>
        <w:rPr>
          <w:rFonts w:eastAsia="Times New Roman"/>
          <w:b/>
          <w:color w:val="003087"/>
          <w:sz w:val="32"/>
          <w:szCs w:val="32"/>
        </w:rPr>
      </w:pPr>
    </w:p>
    <w:p w14:paraId="24011619" w14:textId="71E06E5A" w:rsidR="0022468F" w:rsidRDefault="002A3D06" w:rsidP="008B1CB5">
      <w:pPr>
        <w:pStyle w:val="ClauseA"/>
        <w:jc w:val="both"/>
      </w:pPr>
      <w:r w:rsidRPr="002A3D06">
        <w:t xml:space="preserve">The appropriateness of the mix of debt shall be formally assessed at least once each year </w:t>
      </w:r>
      <w:proofErr w:type="gramStart"/>
      <w:r w:rsidRPr="002A3D06">
        <w:t>in light of</w:t>
      </w:r>
      <w:proofErr w:type="gramEnd"/>
      <w:r w:rsidRPr="002A3D06">
        <w:t xml:space="preserve"> any fundamental changes in interest rates and the borrowing environment.</w:t>
      </w:r>
    </w:p>
    <w:p w14:paraId="6E44026F" w14:textId="77777777" w:rsidR="002A3D06" w:rsidRPr="002A3D06" w:rsidRDefault="002A3D06" w:rsidP="00520948">
      <w:pPr>
        <w:pStyle w:val="Heading1"/>
      </w:pPr>
      <w:r w:rsidRPr="002A3D06">
        <w:t>Debt Covenants and Restrictions</w:t>
      </w:r>
    </w:p>
    <w:p w14:paraId="421E4945" w14:textId="77777777" w:rsidR="002A3D06" w:rsidRPr="002A3D06" w:rsidRDefault="002A3D06" w:rsidP="00520948">
      <w:pPr>
        <w:pStyle w:val="ClauseA"/>
      </w:pPr>
      <w:r w:rsidRPr="002A3D06">
        <w:t>The University shall access only a limited amount of borrowing to ensure the University maintains a strong financial position and credit rating.</w:t>
      </w:r>
    </w:p>
    <w:p w14:paraId="1EEDBA1B" w14:textId="77777777" w:rsidR="002A3D06" w:rsidRPr="002A3D06" w:rsidRDefault="002A3D06" w:rsidP="00520948">
      <w:pPr>
        <w:pStyle w:val="ClauseA"/>
      </w:pPr>
      <w:r w:rsidRPr="002A3D06">
        <w:t>Borrowed funds shall be used for the purposes set out in the borrowing documents and other than any overdraft or liquidity facilities cannot be used for maintenance or operating costs.</w:t>
      </w:r>
    </w:p>
    <w:p w14:paraId="21094FB7" w14:textId="77777777" w:rsidR="002A3D06" w:rsidRPr="002A3D06" w:rsidRDefault="002A3D06" w:rsidP="00520948">
      <w:pPr>
        <w:pStyle w:val="ClauseA"/>
      </w:pPr>
      <w:r w:rsidRPr="002A3D06">
        <w:t xml:space="preserve">Borrowed funds shall only be used for long term </w:t>
      </w:r>
      <w:r w:rsidR="00D9147A" w:rsidRPr="002A3D06">
        <w:t>Real Property Leasehold Interest</w:t>
      </w:r>
      <w:r w:rsidRPr="002A3D06">
        <w:t>s on the specific authority of Senate.</w:t>
      </w:r>
    </w:p>
    <w:p w14:paraId="7D43D1E7" w14:textId="6634D0E3" w:rsidR="002A3D06" w:rsidRDefault="002A3D06" w:rsidP="00520948">
      <w:pPr>
        <w:pStyle w:val="ClauseA"/>
      </w:pPr>
      <w:r w:rsidRPr="002A3D06">
        <w:t xml:space="preserve">Table B sets out the </w:t>
      </w:r>
      <w:r w:rsidR="00FE5944">
        <w:t xml:space="preserve">internal </w:t>
      </w:r>
      <w:r w:rsidRPr="002A3D06">
        <w:t>debt covenants against which the University’s borrowing limit will be evaluated and under which the debt portfolio is required to operate.</w:t>
      </w:r>
    </w:p>
    <w:p w14:paraId="2DD8947D" w14:textId="77777777" w:rsidR="002A3D06" w:rsidRPr="002A3D06" w:rsidRDefault="000A3F57" w:rsidP="002A3D06">
      <w:pPr>
        <w:rPr>
          <w:rFonts w:eastAsia="Times New Roman"/>
          <w:b/>
          <w:color w:val="003087"/>
          <w:sz w:val="32"/>
          <w:szCs w:val="32"/>
        </w:rPr>
      </w:pPr>
      <w:r>
        <w:br w:type="page"/>
      </w:r>
      <w:r w:rsidR="002A3D06" w:rsidRPr="002A3D06">
        <w:rPr>
          <w:rFonts w:eastAsia="Times New Roman"/>
          <w:b/>
          <w:color w:val="003087"/>
          <w:sz w:val="32"/>
          <w:szCs w:val="32"/>
        </w:rPr>
        <w:lastRenderedPageBreak/>
        <w:t>Table B – Debt Covenants</w:t>
      </w:r>
    </w:p>
    <w:p w14:paraId="68C545C4" w14:textId="77777777" w:rsidR="002A3D06" w:rsidRDefault="002A3D06" w:rsidP="002A3D06">
      <w:pPr>
        <w:rPr>
          <w:rFonts w:eastAsia="Times New Roman"/>
          <w:b/>
          <w:color w:val="003087"/>
          <w:sz w:val="32"/>
          <w:szCs w:val="32"/>
        </w:rPr>
      </w:pP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A0" w:firstRow="1" w:lastRow="0" w:firstColumn="1" w:lastColumn="0" w:noHBand="0" w:noVBand="0"/>
      </w:tblPr>
      <w:tblGrid>
        <w:gridCol w:w="7509"/>
        <w:gridCol w:w="2947"/>
      </w:tblGrid>
      <w:tr w:rsidR="00520948" w:rsidRPr="000A3F57" w14:paraId="46008535" w14:textId="77777777" w:rsidTr="00AE61B4">
        <w:trPr>
          <w:trHeight w:val="247"/>
          <w:jc w:val="right"/>
        </w:trPr>
        <w:tc>
          <w:tcPr>
            <w:tcW w:w="3591" w:type="pct"/>
            <w:shd w:val="clear" w:color="auto" w:fill="2F5496"/>
            <w:vAlign w:val="center"/>
          </w:tcPr>
          <w:p w14:paraId="73125F8B" w14:textId="77777777" w:rsidR="00520948" w:rsidRPr="00AE61B4" w:rsidRDefault="00520948" w:rsidP="000A3F57">
            <w:pPr>
              <w:rPr>
                <w:b/>
                <w:bCs/>
                <w:color w:val="FFFFFF"/>
                <w:sz w:val="28"/>
                <w:szCs w:val="28"/>
              </w:rPr>
            </w:pPr>
            <w:r w:rsidRPr="00AE61B4">
              <w:rPr>
                <w:b/>
                <w:bCs/>
                <w:color w:val="FFFFFF"/>
                <w:sz w:val="28"/>
                <w:szCs w:val="28"/>
              </w:rPr>
              <w:t xml:space="preserve">Operating Performance Measure </w:t>
            </w:r>
          </w:p>
        </w:tc>
        <w:tc>
          <w:tcPr>
            <w:tcW w:w="1409" w:type="pct"/>
            <w:shd w:val="clear" w:color="auto" w:fill="2F5496"/>
            <w:vAlign w:val="center"/>
          </w:tcPr>
          <w:p w14:paraId="22E8548E" w14:textId="77777777" w:rsidR="00520948" w:rsidRPr="00AE61B4" w:rsidRDefault="00520948" w:rsidP="000A3F57">
            <w:pPr>
              <w:jc w:val="center"/>
              <w:rPr>
                <w:b/>
                <w:bCs/>
                <w:color w:val="FFFFFF"/>
                <w:sz w:val="28"/>
                <w:szCs w:val="28"/>
              </w:rPr>
            </w:pPr>
            <w:r w:rsidRPr="00AE61B4">
              <w:rPr>
                <w:b/>
                <w:bCs/>
                <w:color w:val="FFFFFF"/>
                <w:sz w:val="28"/>
                <w:szCs w:val="28"/>
              </w:rPr>
              <w:t>Shall not fall below</w:t>
            </w:r>
          </w:p>
        </w:tc>
      </w:tr>
      <w:tr w:rsidR="00520948" w:rsidRPr="000A3F57" w14:paraId="2015E78B" w14:textId="77777777" w:rsidTr="000A3F57">
        <w:trPr>
          <w:trHeight w:val="247"/>
          <w:jc w:val="right"/>
        </w:trPr>
        <w:tc>
          <w:tcPr>
            <w:tcW w:w="3591" w:type="pct"/>
            <w:vAlign w:val="center"/>
          </w:tcPr>
          <w:p w14:paraId="1D030FE2" w14:textId="77777777" w:rsidR="00520948" w:rsidRPr="00B70FB2" w:rsidRDefault="00520948" w:rsidP="000A3F57">
            <w:pPr>
              <w:rPr>
                <w:b/>
                <w:bCs/>
              </w:rPr>
            </w:pPr>
            <w:r w:rsidRPr="00B70FB2">
              <w:rPr>
                <w:b/>
                <w:bCs/>
              </w:rPr>
              <w:t xml:space="preserve">Debt Service Coverage </w:t>
            </w:r>
            <w:r w:rsidRPr="00B70FB2" w:rsidDel="00FA5F94">
              <w:rPr>
                <w:b/>
                <w:bCs/>
              </w:rPr>
              <w:t xml:space="preserve"> </w:t>
            </w:r>
          </w:p>
        </w:tc>
        <w:tc>
          <w:tcPr>
            <w:tcW w:w="1409" w:type="pct"/>
            <w:shd w:val="clear" w:color="auto" w:fill="auto"/>
            <w:vAlign w:val="center"/>
          </w:tcPr>
          <w:p w14:paraId="19850B79" w14:textId="77777777" w:rsidR="00520948" w:rsidRPr="000A3F57" w:rsidRDefault="00520948" w:rsidP="000A3F57">
            <w:pPr>
              <w:jc w:val="center"/>
            </w:pPr>
            <w:r w:rsidRPr="000A3F57">
              <w:t>4x</w:t>
            </w:r>
          </w:p>
        </w:tc>
      </w:tr>
      <w:tr w:rsidR="00520948" w:rsidRPr="000A3F57" w14:paraId="1911FD7A" w14:textId="77777777" w:rsidTr="00AE61B4">
        <w:trPr>
          <w:trHeight w:val="247"/>
          <w:jc w:val="right"/>
        </w:trPr>
        <w:tc>
          <w:tcPr>
            <w:tcW w:w="3591" w:type="pct"/>
            <w:shd w:val="clear" w:color="auto" w:fill="2F5496"/>
            <w:vAlign w:val="center"/>
          </w:tcPr>
          <w:p w14:paraId="03607706" w14:textId="77777777" w:rsidR="00520948" w:rsidRPr="00AE61B4" w:rsidRDefault="00520948" w:rsidP="000A3F57">
            <w:pPr>
              <w:rPr>
                <w:b/>
                <w:bCs/>
                <w:color w:val="FFFFFF"/>
                <w:sz w:val="28"/>
                <w:szCs w:val="28"/>
              </w:rPr>
            </w:pPr>
            <w:r w:rsidRPr="00AE61B4">
              <w:rPr>
                <w:b/>
                <w:bCs/>
                <w:color w:val="FFFFFF"/>
                <w:sz w:val="28"/>
                <w:szCs w:val="28"/>
              </w:rPr>
              <w:t xml:space="preserve">Balance Sheet Strength Measure </w:t>
            </w:r>
          </w:p>
        </w:tc>
        <w:tc>
          <w:tcPr>
            <w:tcW w:w="1409" w:type="pct"/>
            <w:shd w:val="clear" w:color="auto" w:fill="2F5496"/>
            <w:vAlign w:val="center"/>
          </w:tcPr>
          <w:p w14:paraId="26C2C526" w14:textId="77777777" w:rsidR="00520948" w:rsidRPr="00AE61B4" w:rsidRDefault="00520948" w:rsidP="000A3F57">
            <w:pPr>
              <w:jc w:val="center"/>
              <w:rPr>
                <w:b/>
                <w:bCs/>
                <w:color w:val="FFFFFF"/>
                <w:sz w:val="28"/>
                <w:szCs w:val="28"/>
              </w:rPr>
            </w:pPr>
            <w:r w:rsidRPr="00AE61B4">
              <w:rPr>
                <w:b/>
                <w:bCs/>
                <w:color w:val="FFFFFF"/>
                <w:sz w:val="28"/>
                <w:szCs w:val="28"/>
              </w:rPr>
              <w:t>Shall not exceed</w:t>
            </w:r>
          </w:p>
        </w:tc>
      </w:tr>
      <w:tr w:rsidR="00520948" w:rsidRPr="000A3F57" w14:paraId="75E55E78" w14:textId="77777777" w:rsidTr="000A3F57">
        <w:trPr>
          <w:trHeight w:val="317"/>
          <w:jc w:val="right"/>
        </w:trPr>
        <w:tc>
          <w:tcPr>
            <w:tcW w:w="3591" w:type="pct"/>
            <w:vAlign w:val="center"/>
          </w:tcPr>
          <w:p w14:paraId="6235ED69" w14:textId="77777777" w:rsidR="00520948" w:rsidRPr="00D9147A" w:rsidRDefault="00520948" w:rsidP="000A3F57">
            <w:pPr>
              <w:rPr>
                <w:b/>
                <w:bCs/>
              </w:rPr>
            </w:pPr>
            <w:r w:rsidRPr="00D9147A">
              <w:rPr>
                <w:b/>
                <w:bCs/>
              </w:rPr>
              <w:t>Gearing Ratio</w:t>
            </w:r>
            <w:r w:rsidRPr="00D9147A" w:rsidDel="00372433">
              <w:rPr>
                <w:b/>
                <w:bCs/>
              </w:rPr>
              <w:t xml:space="preserve"> </w:t>
            </w:r>
          </w:p>
        </w:tc>
        <w:tc>
          <w:tcPr>
            <w:tcW w:w="1409" w:type="pct"/>
            <w:shd w:val="clear" w:color="auto" w:fill="auto"/>
            <w:vAlign w:val="center"/>
          </w:tcPr>
          <w:p w14:paraId="49E1C8E9" w14:textId="6D0D5B0D" w:rsidR="00520948" w:rsidRPr="000A3F57" w:rsidRDefault="0014364C" w:rsidP="000A3F57">
            <w:pPr>
              <w:jc w:val="center"/>
            </w:pPr>
            <w:r>
              <w:t>1</w:t>
            </w:r>
            <w:r w:rsidR="00B169A4">
              <w:t>5</w:t>
            </w:r>
            <w:r w:rsidR="00520948" w:rsidRPr="000A3F57">
              <w:t>.</w:t>
            </w:r>
            <w:r w:rsidR="008604AC">
              <w:t>0</w:t>
            </w:r>
            <w:r w:rsidR="00520948" w:rsidRPr="000A3F57">
              <w:t>%</w:t>
            </w:r>
          </w:p>
        </w:tc>
      </w:tr>
    </w:tbl>
    <w:p w14:paraId="7B661AE6" w14:textId="77777777" w:rsidR="00520948" w:rsidRDefault="00520948" w:rsidP="008604AC">
      <w:pPr>
        <w:spacing w:after="0"/>
        <w:rPr>
          <w:rFonts w:eastAsia="Times New Roman"/>
          <w:b/>
          <w:color w:val="003087"/>
          <w:sz w:val="32"/>
          <w:szCs w:val="32"/>
        </w:rPr>
      </w:pPr>
    </w:p>
    <w:p w14:paraId="1722ECC2" w14:textId="77777777" w:rsidR="002A3D06" w:rsidRPr="002A3D06" w:rsidRDefault="002A3D06" w:rsidP="008604AC">
      <w:pPr>
        <w:pStyle w:val="Heading4"/>
        <w:spacing w:before="120"/>
        <w:ind w:left="862" w:hanging="862"/>
      </w:pPr>
      <w:r w:rsidRPr="002A3D06">
        <w:t xml:space="preserve">If in any circumstances the debt covenants are exceeded, the University management is required to undertake such action as necessary, to return the University to within limits as soon as practical. </w:t>
      </w:r>
    </w:p>
    <w:p w14:paraId="31E1840D" w14:textId="77777777" w:rsidR="002A3D06" w:rsidRPr="002A3D06" w:rsidRDefault="002A3D06" w:rsidP="00520948">
      <w:pPr>
        <w:pStyle w:val="ClauseA"/>
      </w:pPr>
      <w:r w:rsidRPr="002A3D06">
        <w:t>Senate shall approve remedial action on receipt of a detailed documented strategy for returning ratios to an acceptable level over an agreed timeframe acceptable to financiers.</w:t>
      </w:r>
    </w:p>
    <w:p w14:paraId="3393BBB1" w14:textId="77777777" w:rsidR="002A3D06" w:rsidRPr="002A3D06" w:rsidRDefault="002A3D06" w:rsidP="00520948">
      <w:pPr>
        <w:pStyle w:val="ClauseA"/>
      </w:pPr>
      <w:r w:rsidRPr="002A3D06">
        <w:t>All borrowings must be in Australian currency. Foreign currency borrowing is not permitted without specific approval of the Senate including reference as to how currency risk shall be managed.</w:t>
      </w:r>
    </w:p>
    <w:p w14:paraId="45944E64" w14:textId="77777777" w:rsidR="002A3D06" w:rsidRDefault="002A3D06" w:rsidP="00520948">
      <w:pPr>
        <w:pStyle w:val="ClauseA"/>
      </w:pPr>
      <w:r w:rsidRPr="002A3D06">
        <w:t xml:space="preserve">Debt key performance and early warning indicators have been developed to assist management in monitoring the debt portfolio. These indicators are intended to provide an indication of the University’s financial risk and do not place constraints on the University’s borrowing capacity. They are to be monitored by management </w:t>
      </w:r>
      <w:proofErr w:type="gramStart"/>
      <w:r w:rsidRPr="002A3D06">
        <w:t>in order to</w:t>
      </w:r>
      <w:proofErr w:type="gramEnd"/>
      <w:r w:rsidRPr="002A3D06">
        <w:t xml:space="preserve"> take into account University specific elements and are for internal use only. </w:t>
      </w:r>
    </w:p>
    <w:p w14:paraId="66D0213B" w14:textId="77777777" w:rsidR="002A3D06" w:rsidRPr="002A3D06" w:rsidRDefault="002A3D06" w:rsidP="00520948">
      <w:pPr>
        <w:pStyle w:val="Heading1"/>
      </w:pPr>
      <w:r w:rsidRPr="002A3D06">
        <w:t>Debt Administration</w:t>
      </w:r>
    </w:p>
    <w:p w14:paraId="5997C546" w14:textId="77777777" w:rsidR="002A3D06" w:rsidRPr="002A3D06" w:rsidRDefault="002A3D06" w:rsidP="00520948">
      <w:pPr>
        <w:pStyle w:val="ClauseA"/>
      </w:pPr>
      <w:r w:rsidRPr="002A3D06">
        <w:t xml:space="preserve">The University’s debt portfolio is to be managed and approved in conjunction with the University’s capital asset management plan, capital budget and University Treasury forecasts. The University’s capital budget and debt budget shall be monitored by </w:t>
      </w:r>
      <w:proofErr w:type="gramStart"/>
      <w:r w:rsidRPr="002A3D06">
        <w:t>University</w:t>
      </w:r>
      <w:proofErr w:type="gramEnd"/>
      <w:r w:rsidRPr="002A3D06">
        <w:t xml:space="preserve"> management.</w:t>
      </w:r>
    </w:p>
    <w:p w14:paraId="2E77FD66" w14:textId="77777777" w:rsidR="002A3D06" w:rsidRPr="002A3D06" w:rsidRDefault="002A3D06" w:rsidP="00520948">
      <w:pPr>
        <w:pStyle w:val="ClauseA"/>
      </w:pPr>
      <w:r w:rsidRPr="002A3D06">
        <w:t>The University’s capital asset management plan and capital budget shall be prepared at least annually. The timing of capital borrowings shall be coordinated to ensure sufficient liquidity to meet projected outflow of funds under the capital asset management plan, without undue surplus borrowings.</w:t>
      </w:r>
    </w:p>
    <w:p w14:paraId="4C410C45" w14:textId="060CEDDA" w:rsidR="002A3D06" w:rsidRPr="00520948" w:rsidRDefault="002A3D06" w:rsidP="002A3D06">
      <w:pPr>
        <w:pStyle w:val="ClauseA"/>
      </w:pPr>
      <w:r w:rsidRPr="002A3D06">
        <w:t>A proposal shall be prepared to increase the established borrowing facilities amount</w:t>
      </w:r>
      <w:r w:rsidR="00A97E39">
        <w:t>:</w:t>
      </w:r>
    </w:p>
    <w:p w14:paraId="76808137" w14:textId="77777777" w:rsidR="002A3D06" w:rsidRPr="002A3D06" w:rsidRDefault="002A3D06" w:rsidP="00520948">
      <w:pPr>
        <w:pStyle w:val="Clause1"/>
      </w:pPr>
      <w:r w:rsidRPr="002A3D06">
        <w:t xml:space="preserve">The business case for </w:t>
      </w:r>
      <w:proofErr w:type="gramStart"/>
      <w:r w:rsidRPr="002A3D06">
        <w:t>University</w:t>
      </w:r>
      <w:proofErr w:type="gramEnd"/>
      <w:r w:rsidRPr="002A3D06">
        <w:t>-supported capital assets, overdraft or liquidity facilities is based on the general financial strength of the University rather than the financial viability of specific projects.</w:t>
      </w:r>
    </w:p>
    <w:p w14:paraId="3AEA0621" w14:textId="77777777" w:rsidR="002A3D06" w:rsidRPr="002A3D06" w:rsidRDefault="002A3D06" w:rsidP="00520948">
      <w:pPr>
        <w:pStyle w:val="Clause1"/>
      </w:pPr>
      <w:r w:rsidRPr="002A3D06">
        <w:lastRenderedPageBreak/>
        <w:t xml:space="preserve">The business case and financial plan for </w:t>
      </w:r>
      <w:r w:rsidR="00D9147A" w:rsidRPr="002A3D06">
        <w:t>Self-Supported Capital Asset</w:t>
      </w:r>
      <w:r w:rsidRPr="002A3D06">
        <w:t xml:space="preserve">s must include the costs and repayment of any related </w:t>
      </w:r>
      <w:proofErr w:type="gramStart"/>
      <w:r w:rsidRPr="002A3D06">
        <w:t>debt, and</w:t>
      </w:r>
      <w:proofErr w:type="gramEnd"/>
      <w:r w:rsidRPr="002A3D06">
        <w:t xml:space="preserve"> is subject to Senate approval on a case-by-case basis.</w:t>
      </w:r>
    </w:p>
    <w:p w14:paraId="3EF9F03D" w14:textId="77777777" w:rsidR="002A3D06" w:rsidRPr="002A3D06" w:rsidRDefault="002A3D06" w:rsidP="00520948">
      <w:pPr>
        <w:pStyle w:val="ClauseA"/>
      </w:pPr>
      <w:r w:rsidRPr="002A3D06">
        <w:t>Borrowing cost shall be paid as and when due and not be added to the borrowing amount</w:t>
      </w:r>
      <w:r w:rsidR="00520948">
        <w:t xml:space="preserve"> —</w:t>
      </w:r>
    </w:p>
    <w:p w14:paraId="15821C3E" w14:textId="77777777" w:rsidR="002A3D06" w:rsidRPr="002A3D06" w:rsidRDefault="002A3D06" w:rsidP="00520948">
      <w:pPr>
        <w:pStyle w:val="Clause1"/>
      </w:pPr>
      <w:r w:rsidRPr="002A3D06">
        <w:t xml:space="preserve">The capitalisation or expense of </w:t>
      </w:r>
      <w:r w:rsidR="00B70FB2" w:rsidRPr="008604AC">
        <w:t>Borrowing Costs</w:t>
      </w:r>
      <w:r w:rsidRPr="002A3D06">
        <w:t xml:space="preserve"> is to be determined under the University’s accounting policy and applicable accounting standards. </w:t>
      </w:r>
    </w:p>
    <w:p w14:paraId="3B824653" w14:textId="346AE441" w:rsidR="002A3D06" w:rsidRPr="002A3D06" w:rsidRDefault="002A3D06" w:rsidP="00520948">
      <w:pPr>
        <w:pStyle w:val="Clause1"/>
      </w:pPr>
      <w:r w:rsidRPr="002A3D06">
        <w:t xml:space="preserve">The </w:t>
      </w:r>
      <w:r w:rsidR="00B70FB2">
        <w:t>Borrowing Costs</w:t>
      </w:r>
      <w:r w:rsidRPr="002A3D06">
        <w:t xml:space="preserve"> for University-supported capital borrowings will be charged to the capital program, and for self-supported capital borrowings will be charged to the project.</w:t>
      </w:r>
    </w:p>
    <w:p w14:paraId="0FD0A2CA" w14:textId="390D7007" w:rsidR="002A3D06" w:rsidRPr="002A3D06" w:rsidRDefault="002A3D06" w:rsidP="00520948">
      <w:pPr>
        <w:pStyle w:val="ClauseA"/>
      </w:pPr>
      <w:r w:rsidRPr="002A3D06">
        <w:t xml:space="preserve">Debt shall be repaid as per the terms of the debt agreements. Rolling refinancing arrangements may be </w:t>
      </w:r>
      <w:proofErr w:type="spellStart"/>
      <w:r w:rsidRPr="002A3D06">
        <w:t>established</w:t>
      </w:r>
      <w:r w:rsidR="004E4AAE">
        <w:t>i</w:t>
      </w:r>
      <w:proofErr w:type="spellEnd"/>
      <w:r w:rsidR="004E4AAE">
        <w:t>:</w:t>
      </w:r>
    </w:p>
    <w:p w14:paraId="5201E18B" w14:textId="77777777" w:rsidR="002A3D06" w:rsidRDefault="002A3D06" w:rsidP="00520948">
      <w:pPr>
        <w:pStyle w:val="Clause1"/>
      </w:pPr>
      <w:r w:rsidRPr="002A3D06">
        <w:t>Refinancing arrangements for large maturities shall be assessed and established six months in advance of maturity or as otherwise determined by the Chief Financial Officer. Table C sets out the large maturity profile against which the University’s refinancing risk will be evaluated</w:t>
      </w:r>
      <w:r w:rsidR="00520948">
        <w:t>.</w:t>
      </w:r>
    </w:p>
    <w:p w14:paraId="2D367A3F" w14:textId="77777777" w:rsidR="00520948" w:rsidRPr="002A3D06" w:rsidRDefault="00520948" w:rsidP="00520948"/>
    <w:p w14:paraId="1DFC9A2E" w14:textId="77777777" w:rsidR="002A3D06" w:rsidRPr="002A3D06" w:rsidRDefault="002A3D06" w:rsidP="002A3D06">
      <w:pPr>
        <w:rPr>
          <w:rFonts w:eastAsia="Times New Roman"/>
          <w:b/>
          <w:color w:val="003087"/>
          <w:sz w:val="32"/>
          <w:szCs w:val="32"/>
        </w:rPr>
      </w:pPr>
      <w:r w:rsidRPr="002A3D06">
        <w:rPr>
          <w:rFonts w:eastAsia="Times New Roman"/>
          <w:b/>
          <w:color w:val="003087"/>
          <w:sz w:val="32"/>
          <w:szCs w:val="32"/>
        </w:rPr>
        <w:t>Table C – Refinancing Large Maturities</w:t>
      </w:r>
    </w:p>
    <w:p w14:paraId="7EB3A1A3" w14:textId="77777777" w:rsidR="002A3D06" w:rsidRPr="002A3D06" w:rsidRDefault="002A3D06" w:rsidP="002A3D06">
      <w:pPr>
        <w:rPr>
          <w:rFonts w:eastAsia="Times New Roman"/>
          <w:b/>
          <w:color w:val="003087"/>
          <w:sz w:val="32"/>
          <w:szCs w:val="32"/>
        </w:rPr>
      </w:pP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A0" w:firstRow="1" w:lastRow="0" w:firstColumn="1" w:lastColumn="0" w:noHBand="0" w:noVBand="0"/>
      </w:tblPr>
      <w:tblGrid>
        <w:gridCol w:w="7687"/>
        <w:gridCol w:w="2769"/>
      </w:tblGrid>
      <w:tr w:rsidR="00520948" w:rsidRPr="000A3F57" w14:paraId="41855DE0" w14:textId="77777777" w:rsidTr="00AE61B4">
        <w:trPr>
          <w:trHeight w:val="247"/>
          <w:jc w:val="right"/>
        </w:trPr>
        <w:tc>
          <w:tcPr>
            <w:tcW w:w="3676" w:type="pct"/>
            <w:shd w:val="clear" w:color="auto" w:fill="2F5496"/>
          </w:tcPr>
          <w:p w14:paraId="4C4CDCA1" w14:textId="77777777" w:rsidR="00520948" w:rsidRPr="00AE61B4" w:rsidRDefault="00520948" w:rsidP="00AE61B4">
            <w:pPr>
              <w:jc w:val="both"/>
              <w:rPr>
                <w:rFonts w:cs="Arial"/>
                <w:b/>
                <w:color w:val="FFFFFF"/>
                <w:sz w:val="28"/>
                <w:szCs w:val="28"/>
              </w:rPr>
            </w:pPr>
            <w:r w:rsidRPr="00AE61B4">
              <w:rPr>
                <w:rFonts w:cs="Arial"/>
                <w:b/>
                <w:color w:val="FFFFFF"/>
                <w:sz w:val="28"/>
                <w:szCs w:val="28"/>
              </w:rPr>
              <w:t xml:space="preserve">Refinancing Large Maturities </w:t>
            </w:r>
          </w:p>
        </w:tc>
        <w:tc>
          <w:tcPr>
            <w:tcW w:w="1324" w:type="pct"/>
            <w:shd w:val="clear" w:color="auto" w:fill="2F5496"/>
          </w:tcPr>
          <w:p w14:paraId="3BB8F46A" w14:textId="77777777" w:rsidR="00520948" w:rsidRPr="00AE61B4" w:rsidRDefault="00520948" w:rsidP="00AE61B4">
            <w:pPr>
              <w:jc w:val="center"/>
              <w:rPr>
                <w:rFonts w:cs="Arial"/>
                <w:color w:val="FFFFFF"/>
                <w:sz w:val="28"/>
                <w:szCs w:val="28"/>
              </w:rPr>
            </w:pPr>
            <w:r w:rsidRPr="00AE61B4">
              <w:rPr>
                <w:rFonts w:cs="Arial"/>
                <w:color w:val="FFFFFF"/>
                <w:sz w:val="28"/>
                <w:szCs w:val="28"/>
              </w:rPr>
              <w:t>Established</w:t>
            </w:r>
          </w:p>
        </w:tc>
      </w:tr>
      <w:tr w:rsidR="00520948" w:rsidRPr="000A3F57" w14:paraId="79924EA5" w14:textId="77777777" w:rsidTr="000A3F57">
        <w:trPr>
          <w:trHeight w:val="247"/>
          <w:jc w:val="right"/>
        </w:trPr>
        <w:tc>
          <w:tcPr>
            <w:tcW w:w="3676" w:type="pct"/>
          </w:tcPr>
          <w:p w14:paraId="346F2C46" w14:textId="77777777" w:rsidR="00520948" w:rsidRPr="000A3F57" w:rsidRDefault="00520948" w:rsidP="000A3F57">
            <w:pPr>
              <w:jc w:val="both"/>
              <w:rPr>
                <w:rFonts w:cs="Arial"/>
              </w:rPr>
            </w:pPr>
            <w:r w:rsidRPr="000A3F57">
              <w:rPr>
                <w:rFonts w:cs="Arial"/>
              </w:rPr>
              <w:t xml:space="preserve">Debt line &gt; 10% Portfolio  </w:t>
            </w:r>
            <w:r w:rsidRPr="000A3F57" w:rsidDel="00FA5F94">
              <w:rPr>
                <w:rFonts w:cs="Arial"/>
              </w:rPr>
              <w:t xml:space="preserve"> </w:t>
            </w:r>
          </w:p>
        </w:tc>
        <w:tc>
          <w:tcPr>
            <w:tcW w:w="1324" w:type="pct"/>
            <w:shd w:val="clear" w:color="auto" w:fill="auto"/>
          </w:tcPr>
          <w:p w14:paraId="2802415D" w14:textId="77777777" w:rsidR="00520948" w:rsidRPr="000A3F57" w:rsidRDefault="00520948" w:rsidP="00AE61B4">
            <w:pPr>
              <w:jc w:val="center"/>
              <w:rPr>
                <w:rFonts w:cs="Arial"/>
              </w:rPr>
            </w:pPr>
            <w:r w:rsidRPr="000A3F57">
              <w:rPr>
                <w:rFonts w:cs="Arial"/>
              </w:rPr>
              <w:t>6 months</w:t>
            </w:r>
          </w:p>
        </w:tc>
      </w:tr>
    </w:tbl>
    <w:p w14:paraId="7CE0032E" w14:textId="77777777" w:rsidR="00520948" w:rsidRPr="002A3D06" w:rsidRDefault="00520948" w:rsidP="002A3D06">
      <w:pPr>
        <w:rPr>
          <w:rFonts w:eastAsia="Times New Roman"/>
          <w:b/>
          <w:color w:val="003087"/>
          <w:sz w:val="32"/>
          <w:szCs w:val="32"/>
        </w:rPr>
      </w:pPr>
    </w:p>
    <w:p w14:paraId="38E6E3A3" w14:textId="5B73B2D0" w:rsidR="002A3D06" w:rsidRPr="002A3D06" w:rsidRDefault="002A3D06" w:rsidP="00A50010">
      <w:pPr>
        <w:pStyle w:val="ClauseA"/>
      </w:pPr>
      <w:r w:rsidRPr="002A3D06">
        <w:t>Borrowings may be repaid or restructured when opportunities arise which present positive savings and/or support the strategic objectives of the University.</w:t>
      </w:r>
      <w:r w:rsidR="00EC2A93">
        <w:t xml:space="preserve"> </w:t>
      </w:r>
    </w:p>
    <w:p w14:paraId="0CB7BBA9" w14:textId="538FA059" w:rsidR="002A3D06" w:rsidRPr="002A3D06" w:rsidRDefault="002A3D06" w:rsidP="00520948">
      <w:pPr>
        <w:pStyle w:val="ClauseA"/>
      </w:pPr>
      <w:r w:rsidRPr="002A3D06">
        <w:t xml:space="preserve">A debt repayment reserve </w:t>
      </w:r>
      <w:r w:rsidR="00E72328">
        <w:t xml:space="preserve">may be </w:t>
      </w:r>
      <w:r w:rsidRPr="002A3D06">
        <w:t xml:space="preserve">established under the policy.  The amount of funds set aside and held in the reserve (if any) shall be determined on the recommendation of the Chief Financial Officer based on a risk assessment of debt maturities and the funding buffer between the </w:t>
      </w:r>
      <w:r w:rsidR="00D9147A" w:rsidRPr="008604AC">
        <w:t xml:space="preserve">Minimum Level </w:t>
      </w:r>
      <w:proofErr w:type="gramStart"/>
      <w:r w:rsidR="00D9147A" w:rsidRPr="008604AC">
        <w:t>Of</w:t>
      </w:r>
      <w:proofErr w:type="gramEnd"/>
      <w:r w:rsidR="00D9147A" w:rsidRPr="008604AC">
        <w:t xml:space="preserve"> Unrestricted Funds</w:t>
      </w:r>
      <w:r w:rsidRPr="002A3D06">
        <w:t xml:space="preserve"> and the actual and forecast level of unrestricted funds.</w:t>
      </w:r>
    </w:p>
    <w:p w14:paraId="7FA6F4E5" w14:textId="77777777" w:rsidR="002A3D06" w:rsidRDefault="002A3D06" w:rsidP="00520948">
      <w:pPr>
        <w:pStyle w:val="ClauseA"/>
      </w:pPr>
      <w:r w:rsidRPr="002A3D06">
        <w:t>Any temporary surplus funds arising from borrowed funds shall be invested in the cash pool or the short-term pool pending utilisation.</w:t>
      </w:r>
    </w:p>
    <w:p w14:paraId="430DDF5D" w14:textId="77777777" w:rsidR="00520948" w:rsidRPr="002A3D06" w:rsidRDefault="00520948" w:rsidP="00520948"/>
    <w:p w14:paraId="063EDB77" w14:textId="4C76955A" w:rsidR="002A3D06" w:rsidRPr="002A3D06" w:rsidRDefault="002A3D06" w:rsidP="00520948">
      <w:pPr>
        <w:pStyle w:val="Heading1"/>
      </w:pPr>
      <w:r w:rsidRPr="002A3D06">
        <w:t>Amortisation of Debt</w:t>
      </w:r>
    </w:p>
    <w:p w14:paraId="34760E31" w14:textId="59BD00DC" w:rsidR="002A3D06" w:rsidRPr="002A3D06" w:rsidRDefault="002A3D06" w:rsidP="00520948">
      <w:pPr>
        <w:pStyle w:val="ClauseA"/>
      </w:pPr>
      <w:r w:rsidRPr="002A3D06">
        <w:t>Facilities are to amortise in accordance with scheduled repayment flows</w:t>
      </w:r>
      <w:r w:rsidR="009B0AD1">
        <w:t xml:space="preserve"> or for perpetual facilities, an amortisation profile approved by the Chief Financial Officer</w:t>
      </w:r>
      <w:r w:rsidRPr="002A3D06">
        <w:t>; and</w:t>
      </w:r>
    </w:p>
    <w:p w14:paraId="300B3CDA" w14:textId="77777777" w:rsidR="002A3D06" w:rsidRDefault="002A3D06" w:rsidP="00520948">
      <w:pPr>
        <w:pStyle w:val="ClauseA"/>
      </w:pPr>
      <w:r w:rsidRPr="002A3D06">
        <w:lastRenderedPageBreak/>
        <w:t>Management is to ensure that there are sufficient unrestricted funds available to meet all potential debt amortisation across the ensuing financial year.</w:t>
      </w:r>
    </w:p>
    <w:p w14:paraId="3A2A42E0" w14:textId="77777777" w:rsidR="00520948" w:rsidRPr="002A3D06" w:rsidRDefault="00520948" w:rsidP="00520948"/>
    <w:p w14:paraId="02545063" w14:textId="77777777" w:rsidR="002A3D06" w:rsidRPr="002A3D06" w:rsidRDefault="002A3D06" w:rsidP="00520948">
      <w:pPr>
        <w:pStyle w:val="Heading1"/>
      </w:pPr>
      <w:r w:rsidRPr="002A3D06">
        <w:t>Risk Management</w:t>
      </w:r>
    </w:p>
    <w:p w14:paraId="4F63A274" w14:textId="77777777" w:rsidR="002A3D06" w:rsidRPr="002A3D06" w:rsidRDefault="002A3D06" w:rsidP="008645AB">
      <w:pPr>
        <w:pStyle w:val="ClauseA"/>
      </w:pPr>
      <w:r w:rsidRPr="002A3D06">
        <w:t>The debt portfolio shall be managed to ensure the University has sufficient access to liquidity and established facilities to meet its financial obligations as they fall due.</w:t>
      </w:r>
    </w:p>
    <w:p w14:paraId="3C5C2C4F" w14:textId="77777777" w:rsidR="002A3D06" w:rsidRPr="002A3D06" w:rsidRDefault="002A3D06" w:rsidP="008645AB">
      <w:pPr>
        <w:pStyle w:val="ClauseA"/>
      </w:pPr>
      <w:r w:rsidRPr="002A3D06">
        <w:t>The debt portfolio shall be managed to ensure an acceptable level of risk, ensure compliance with debt covenants and borrowing facilities contractual undertakings and provide long term certainty.</w:t>
      </w:r>
    </w:p>
    <w:p w14:paraId="371CA951" w14:textId="77777777" w:rsidR="002A3D06" w:rsidRPr="002A3D06" w:rsidRDefault="002A3D06" w:rsidP="008645AB">
      <w:pPr>
        <w:pStyle w:val="ClauseA"/>
      </w:pPr>
      <w:r w:rsidRPr="002A3D06">
        <w:t>Risks shall be minimised by ensuring outstanding debt has a diversified maturity profile and an appropriate interest rate exposure mix. The term of the borrowing may be varied to take into consideration the interest rate environment.</w:t>
      </w:r>
    </w:p>
    <w:p w14:paraId="6198615D" w14:textId="77777777" w:rsidR="002A3D06" w:rsidRPr="002A3D06" w:rsidRDefault="002A3D06" w:rsidP="008645AB">
      <w:pPr>
        <w:pStyle w:val="ClauseA"/>
      </w:pPr>
      <w:r w:rsidRPr="002A3D06">
        <w:t>Interest rate derivatives are permitted to hedge risks and assist with the effective management of the debt portfolio. Use of derivatives is to be in accordance with independent advice and separately approved by the Senate.</w:t>
      </w:r>
    </w:p>
    <w:p w14:paraId="2DDC1DEE" w14:textId="77777777" w:rsidR="002A3D06" w:rsidRDefault="002A3D06" w:rsidP="008645AB">
      <w:pPr>
        <w:pStyle w:val="ClauseA"/>
      </w:pPr>
      <w:r w:rsidRPr="002A3D06">
        <w:t>The identified specific financial risks and risk management strategies is outlined in Table D. Management is responsible for implementing the University’s debt risk management strategy.</w:t>
      </w:r>
    </w:p>
    <w:p w14:paraId="7074F193" w14:textId="77777777" w:rsidR="002A3D06" w:rsidRPr="002A3D06" w:rsidRDefault="000A3F57" w:rsidP="002A3D06">
      <w:pPr>
        <w:rPr>
          <w:rFonts w:eastAsia="Times New Roman"/>
          <w:b/>
          <w:color w:val="003087"/>
          <w:sz w:val="32"/>
          <w:szCs w:val="32"/>
        </w:rPr>
      </w:pPr>
      <w:r>
        <w:br w:type="page"/>
      </w:r>
      <w:r w:rsidR="002A3D06" w:rsidRPr="002A3D06">
        <w:rPr>
          <w:rFonts w:eastAsia="Times New Roman"/>
          <w:b/>
          <w:color w:val="003087"/>
          <w:sz w:val="32"/>
          <w:szCs w:val="32"/>
        </w:rPr>
        <w:lastRenderedPageBreak/>
        <w:t>Table D – Risk Management</w:t>
      </w: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A0" w:firstRow="1" w:lastRow="0" w:firstColumn="1" w:lastColumn="0" w:noHBand="0" w:noVBand="0"/>
      </w:tblPr>
      <w:tblGrid>
        <w:gridCol w:w="3890"/>
        <w:gridCol w:w="6566"/>
      </w:tblGrid>
      <w:tr w:rsidR="008645AB" w:rsidRPr="000A3F57" w14:paraId="4905BB15" w14:textId="77777777" w:rsidTr="00AE61B4">
        <w:trPr>
          <w:trHeight w:val="247"/>
          <w:jc w:val="right"/>
        </w:trPr>
        <w:tc>
          <w:tcPr>
            <w:tcW w:w="1860" w:type="pct"/>
            <w:shd w:val="clear" w:color="auto" w:fill="2F5496"/>
            <w:vAlign w:val="center"/>
          </w:tcPr>
          <w:p w14:paraId="5164847F" w14:textId="77777777" w:rsidR="008645AB" w:rsidRPr="00AE61B4" w:rsidRDefault="008645AB" w:rsidP="000A3F57">
            <w:pPr>
              <w:spacing w:before="120" w:after="120"/>
              <w:rPr>
                <w:rFonts w:cs="Arial"/>
                <w:b/>
                <w:color w:val="FFFFFF"/>
                <w:sz w:val="28"/>
                <w:szCs w:val="28"/>
              </w:rPr>
            </w:pPr>
            <w:r w:rsidRPr="00AE61B4">
              <w:rPr>
                <w:rFonts w:cs="Arial"/>
                <w:b/>
                <w:color w:val="FFFFFF"/>
                <w:sz w:val="28"/>
                <w:szCs w:val="28"/>
              </w:rPr>
              <w:t>Financial Risk</w:t>
            </w:r>
          </w:p>
        </w:tc>
        <w:tc>
          <w:tcPr>
            <w:tcW w:w="3140" w:type="pct"/>
            <w:shd w:val="clear" w:color="auto" w:fill="2F5496"/>
            <w:vAlign w:val="center"/>
          </w:tcPr>
          <w:p w14:paraId="183BCBCA" w14:textId="77777777" w:rsidR="008645AB" w:rsidRPr="00AE61B4" w:rsidRDefault="008645AB" w:rsidP="000A3F57">
            <w:pPr>
              <w:spacing w:before="120" w:after="120"/>
              <w:rPr>
                <w:rFonts w:cs="Arial"/>
                <w:b/>
                <w:color w:val="FFFFFF"/>
                <w:sz w:val="28"/>
                <w:szCs w:val="28"/>
              </w:rPr>
            </w:pPr>
            <w:r w:rsidRPr="00AE61B4">
              <w:rPr>
                <w:rFonts w:cs="Arial"/>
                <w:b/>
                <w:color w:val="FFFFFF"/>
                <w:sz w:val="28"/>
                <w:szCs w:val="28"/>
              </w:rPr>
              <w:t>Risk Management Strategy</w:t>
            </w:r>
          </w:p>
        </w:tc>
      </w:tr>
      <w:tr w:rsidR="008645AB" w:rsidRPr="000A3F57" w14:paraId="0875F36A" w14:textId="77777777" w:rsidTr="000A3F57">
        <w:trPr>
          <w:trHeight w:val="247"/>
          <w:jc w:val="right"/>
        </w:trPr>
        <w:tc>
          <w:tcPr>
            <w:tcW w:w="1860" w:type="pct"/>
            <w:vAlign w:val="center"/>
          </w:tcPr>
          <w:p w14:paraId="7BE6DF08" w14:textId="77777777" w:rsidR="008645AB" w:rsidRPr="000A3F57" w:rsidRDefault="008645AB" w:rsidP="000A3F57">
            <w:pPr>
              <w:pStyle w:val="ListParagraph"/>
              <w:numPr>
                <w:ilvl w:val="0"/>
                <w:numId w:val="0"/>
              </w:numPr>
              <w:spacing w:before="60" w:after="60"/>
              <w:ind w:left="284"/>
              <w:rPr>
                <w:rFonts w:cs="Arial"/>
                <w:b/>
              </w:rPr>
            </w:pPr>
            <w:r w:rsidRPr="000A3F57">
              <w:rPr>
                <w:rFonts w:cs="Arial"/>
              </w:rPr>
              <w:t>Interest Rate Risk</w:t>
            </w:r>
          </w:p>
        </w:tc>
        <w:tc>
          <w:tcPr>
            <w:tcW w:w="3140" w:type="pct"/>
            <w:shd w:val="clear" w:color="auto" w:fill="auto"/>
            <w:vAlign w:val="center"/>
          </w:tcPr>
          <w:p w14:paraId="63071DE8" w14:textId="77777777" w:rsidR="000A3F57" w:rsidRDefault="000A3F57" w:rsidP="000A3F57">
            <w:pPr>
              <w:pStyle w:val="ListParagraph"/>
              <w:numPr>
                <w:ilvl w:val="0"/>
                <w:numId w:val="0"/>
              </w:numPr>
              <w:spacing w:after="0" w:line="240" w:lineRule="auto"/>
              <w:ind w:left="196"/>
              <w:rPr>
                <w:rFonts w:cs="Arial"/>
              </w:rPr>
            </w:pPr>
          </w:p>
          <w:p w14:paraId="23132B9E" w14:textId="77777777" w:rsidR="008645AB" w:rsidRPr="000A3F57" w:rsidRDefault="008645AB" w:rsidP="000A3F57">
            <w:pPr>
              <w:pStyle w:val="ListParagraph"/>
              <w:numPr>
                <w:ilvl w:val="0"/>
                <w:numId w:val="0"/>
              </w:numPr>
              <w:spacing w:after="0" w:line="240" w:lineRule="auto"/>
              <w:ind w:left="196"/>
              <w:rPr>
                <w:rFonts w:cs="Arial"/>
              </w:rPr>
            </w:pPr>
            <w:r w:rsidRPr="000A3F57">
              <w:rPr>
                <w:rFonts w:cs="Arial"/>
              </w:rPr>
              <w:t>Monitor and forecast the weighted average cost of capital.</w:t>
            </w:r>
          </w:p>
          <w:p w14:paraId="317D1A2D" w14:textId="77777777" w:rsidR="008645AB" w:rsidRPr="000A3F57" w:rsidRDefault="008645AB" w:rsidP="000A3F57">
            <w:pPr>
              <w:pStyle w:val="ListParagraph"/>
              <w:numPr>
                <w:ilvl w:val="0"/>
                <w:numId w:val="0"/>
              </w:numPr>
              <w:spacing w:after="0" w:line="240" w:lineRule="auto"/>
              <w:ind w:left="196"/>
              <w:rPr>
                <w:rFonts w:cs="Arial"/>
              </w:rPr>
            </w:pPr>
            <w:r w:rsidRPr="000A3F57">
              <w:rPr>
                <w:rFonts w:cs="Arial"/>
              </w:rPr>
              <w:t>Monitor, forecast and stress test the annual interest budget.</w:t>
            </w:r>
          </w:p>
          <w:p w14:paraId="2761F8A8" w14:textId="77777777" w:rsidR="008645AB" w:rsidRPr="000A3F57" w:rsidRDefault="008645AB" w:rsidP="000A3F57">
            <w:pPr>
              <w:pStyle w:val="ListParagraph"/>
              <w:numPr>
                <w:ilvl w:val="0"/>
                <w:numId w:val="0"/>
              </w:numPr>
              <w:spacing w:after="0" w:line="240" w:lineRule="auto"/>
              <w:ind w:left="196"/>
              <w:rPr>
                <w:rFonts w:cs="Arial"/>
              </w:rPr>
            </w:pPr>
            <w:r w:rsidRPr="000A3F57">
              <w:rPr>
                <w:rFonts w:cs="Arial"/>
              </w:rPr>
              <w:t>Utilise a spread of debt maturities and interest rate exposures such as fixed and floating rate exposures to manage interest cost and rate volatility.</w:t>
            </w:r>
          </w:p>
          <w:p w14:paraId="748D035E" w14:textId="77777777" w:rsidR="008645AB" w:rsidRPr="000A3F57" w:rsidRDefault="008645AB" w:rsidP="000A3F57">
            <w:pPr>
              <w:pStyle w:val="ListParagraph"/>
              <w:numPr>
                <w:ilvl w:val="0"/>
                <w:numId w:val="0"/>
              </w:numPr>
              <w:spacing w:after="0" w:line="240" w:lineRule="auto"/>
              <w:ind w:left="196"/>
              <w:rPr>
                <w:rFonts w:cs="Arial"/>
              </w:rPr>
            </w:pPr>
            <w:r w:rsidRPr="000A3F57">
              <w:rPr>
                <w:rFonts w:cs="Arial"/>
              </w:rPr>
              <w:t>Obtain information on the fair value of the portfolio.</w:t>
            </w:r>
          </w:p>
          <w:p w14:paraId="60C73225" w14:textId="77777777" w:rsidR="008645AB" w:rsidRDefault="008645AB" w:rsidP="000A3F57">
            <w:pPr>
              <w:pStyle w:val="ListParagraph"/>
              <w:numPr>
                <w:ilvl w:val="0"/>
                <w:numId w:val="0"/>
              </w:numPr>
              <w:spacing w:after="0" w:line="240" w:lineRule="auto"/>
              <w:ind w:left="196"/>
              <w:rPr>
                <w:rFonts w:cs="Arial"/>
              </w:rPr>
            </w:pPr>
            <w:r w:rsidRPr="000A3F57">
              <w:rPr>
                <w:rFonts w:cs="Arial"/>
              </w:rPr>
              <w:t>Obtain specific approval for use of interest rate derivatives.</w:t>
            </w:r>
          </w:p>
          <w:p w14:paraId="54DB9F2A" w14:textId="77777777" w:rsidR="000A3F57" w:rsidRPr="000A3F57" w:rsidRDefault="000A3F57" w:rsidP="000A3F57">
            <w:pPr>
              <w:pStyle w:val="ListParagraph"/>
              <w:numPr>
                <w:ilvl w:val="0"/>
                <w:numId w:val="0"/>
              </w:numPr>
              <w:spacing w:after="0" w:line="240" w:lineRule="auto"/>
              <w:ind w:left="196"/>
              <w:rPr>
                <w:rFonts w:cs="Arial"/>
              </w:rPr>
            </w:pPr>
          </w:p>
        </w:tc>
      </w:tr>
      <w:tr w:rsidR="008645AB" w:rsidRPr="000A3F57" w14:paraId="66255A02" w14:textId="77777777" w:rsidTr="000A3F57">
        <w:trPr>
          <w:trHeight w:val="247"/>
          <w:jc w:val="right"/>
        </w:trPr>
        <w:tc>
          <w:tcPr>
            <w:tcW w:w="1860" w:type="pct"/>
            <w:vAlign w:val="center"/>
          </w:tcPr>
          <w:p w14:paraId="3007E53A" w14:textId="77777777" w:rsidR="008645AB" w:rsidRPr="000A3F57" w:rsidRDefault="008645AB" w:rsidP="000A3F57">
            <w:pPr>
              <w:pStyle w:val="ListParagraph"/>
              <w:numPr>
                <w:ilvl w:val="0"/>
                <w:numId w:val="0"/>
              </w:numPr>
              <w:spacing w:before="60" w:after="60"/>
              <w:ind w:left="284"/>
              <w:rPr>
                <w:rFonts w:cs="Arial"/>
              </w:rPr>
            </w:pPr>
            <w:r w:rsidRPr="000A3F57">
              <w:rPr>
                <w:rFonts w:cs="Arial"/>
              </w:rPr>
              <w:t>Liquidity Risk</w:t>
            </w:r>
          </w:p>
        </w:tc>
        <w:tc>
          <w:tcPr>
            <w:tcW w:w="3140" w:type="pct"/>
            <w:shd w:val="clear" w:color="auto" w:fill="auto"/>
            <w:vAlign w:val="center"/>
          </w:tcPr>
          <w:p w14:paraId="39F1B2FE" w14:textId="77777777" w:rsidR="000A3F57" w:rsidRDefault="000A3F57" w:rsidP="000A3F57">
            <w:pPr>
              <w:pStyle w:val="ListParagraph"/>
              <w:numPr>
                <w:ilvl w:val="0"/>
                <w:numId w:val="0"/>
              </w:numPr>
              <w:spacing w:after="0" w:line="240" w:lineRule="auto"/>
              <w:ind w:left="196"/>
              <w:rPr>
                <w:rFonts w:cs="Arial"/>
              </w:rPr>
            </w:pPr>
          </w:p>
          <w:p w14:paraId="086C9AB6" w14:textId="77777777" w:rsidR="008645AB" w:rsidRPr="000A3F57" w:rsidRDefault="008645AB" w:rsidP="000A3F57">
            <w:pPr>
              <w:pStyle w:val="ListParagraph"/>
              <w:numPr>
                <w:ilvl w:val="0"/>
                <w:numId w:val="0"/>
              </w:numPr>
              <w:spacing w:after="0" w:line="240" w:lineRule="auto"/>
              <w:ind w:left="196"/>
              <w:rPr>
                <w:rFonts w:cs="Arial"/>
              </w:rPr>
            </w:pPr>
            <w:r w:rsidRPr="000A3F57">
              <w:rPr>
                <w:rFonts w:cs="Arial"/>
              </w:rPr>
              <w:t>Monitor and forecast annual daily treasury budgets.</w:t>
            </w:r>
          </w:p>
          <w:p w14:paraId="4977E2D3" w14:textId="77777777" w:rsidR="008645AB" w:rsidRDefault="008645AB" w:rsidP="000A3F57">
            <w:pPr>
              <w:pStyle w:val="ListParagraph"/>
              <w:numPr>
                <w:ilvl w:val="0"/>
                <w:numId w:val="0"/>
              </w:numPr>
              <w:spacing w:after="0" w:line="240" w:lineRule="auto"/>
              <w:ind w:left="196"/>
              <w:rPr>
                <w:rFonts w:cs="Arial"/>
              </w:rPr>
            </w:pPr>
            <w:r w:rsidRPr="000A3F57">
              <w:rPr>
                <w:rFonts w:cs="Arial"/>
              </w:rPr>
              <w:t>Establish funding reserves and liquidity facilities, as required to provide a liquidity buffer.</w:t>
            </w:r>
          </w:p>
          <w:p w14:paraId="1745A706" w14:textId="77777777" w:rsidR="000A3F57" w:rsidRPr="000A3F57" w:rsidRDefault="000A3F57" w:rsidP="000A3F57">
            <w:pPr>
              <w:pStyle w:val="ListParagraph"/>
              <w:numPr>
                <w:ilvl w:val="0"/>
                <w:numId w:val="0"/>
              </w:numPr>
              <w:spacing w:after="0" w:line="240" w:lineRule="auto"/>
              <w:ind w:left="196"/>
              <w:rPr>
                <w:rFonts w:cs="Arial"/>
              </w:rPr>
            </w:pPr>
          </w:p>
        </w:tc>
      </w:tr>
      <w:tr w:rsidR="008645AB" w:rsidRPr="000A3F57" w14:paraId="07A22A46" w14:textId="77777777" w:rsidTr="000A3F57">
        <w:trPr>
          <w:trHeight w:val="247"/>
          <w:jc w:val="right"/>
        </w:trPr>
        <w:tc>
          <w:tcPr>
            <w:tcW w:w="1860" w:type="pct"/>
            <w:vAlign w:val="center"/>
          </w:tcPr>
          <w:p w14:paraId="41FAEDD8" w14:textId="77777777" w:rsidR="008645AB" w:rsidRPr="000A3F57" w:rsidRDefault="008645AB" w:rsidP="000A3F57">
            <w:pPr>
              <w:pStyle w:val="ListParagraph"/>
              <w:numPr>
                <w:ilvl w:val="0"/>
                <w:numId w:val="0"/>
              </w:numPr>
              <w:spacing w:before="60" w:after="60"/>
              <w:ind w:left="284"/>
              <w:rPr>
                <w:rFonts w:cs="Arial"/>
              </w:rPr>
            </w:pPr>
            <w:r w:rsidRPr="000A3F57">
              <w:rPr>
                <w:rFonts w:cs="Arial"/>
              </w:rPr>
              <w:t>Funding Risks</w:t>
            </w:r>
          </w:p>
        </w:tc>
        <w:tc>
          <w:tcPr>
            <w:tcW w:w="3140" w:type="pct"/>
            <w:shd w:val="clear" w:color="auto" w:fill="auto"/>
            <w:vAlign w:val="center"/>
          </w:tcPr>
          <w:p w14:paraId="52835F9E" w14:textId="77777777" w:rsidR="000A3F57" w:rsidRDefault="000A3F57" w:rsidP="000A3F57">
            <w:pPr>
              <w:pStyle w:val="ListParagraph"/>
              <w:numPr>
                <w:ilvl w:val="0"/>
                <w:numId w:val="0"/>
              </w:numPr>
              <w:spacing w:after="0" w:line="240" w:lineRule="auto"/>
              <w:ind w:left="196"/>
              <w:rPr>
                <w:rFonts w:cs="Arial"/>
              </w:rPr>
            </w:pPr>
          </w:p>
          <w:p w14:paraId="14F81CAC" w14:textId="77777777" w:rsidR="008645AB" w:rsidRPr="000A3F57" w:rsidRDefault="008645AB" w:rsidP="000A3F57">
            <w:pPr>
              <w:pStyle w:val="ListParagraph"/>
              <w:numPr>
                <w:ilvl w:val="0"/>
                <w:numId w:val="0"/>
              </w:numPr>
              <w:spacing w:after="0" w:line="240" w:lineRule="auto"/>
              <w:ind w:left="196"/>
              <w:rPr>
                <w:rFonts w:cs="Arial"/>
              </w:rPr>
            </w:pPr>
            <w:r w:rsidRPr="000A3F57">
              <w:rPr>
                <w:rFonts w:cs="Arial"/>
              </w:rPr>
              <w:t>Monitor and forecast annual University, capital and debt budgets including current and projected debt level.</w:t>
            </w:r>
          </w:p>
          <w:p w14:paraId="0D70B805" w14:textId="77777777" w:rsidR="008645AB" w:rsidRPr="000A3F57" w:rsidRDefault="008645AB" w:rsidP="000A3F57">
            <w:pPr>
              <w:pStyle w:val="ListParagraph"/>
              <w:numPr>
                <w:ilvl w:val="0"/>
                <w:numId w:val="0"/>
              </w:numPr>
              <w:spacing w:after="0" w:line="240" w:lineRule="auto"/>
              <w:ind w:left="196"/>
              <w:rPr>
                <w:rFonts w:cs="Arial"/>
              </w:rPr>
            </w:pPr>
            <w:r w:rsidRPr="000A3F57">
              <w:rPr>
                <w:rFonts w:cs="Arial"/>
              </w:rPr>
              <w:t xml:space="preserve">Monitor interest rate and borrowing environment. </w:t>
            </w:r>
          </w:p>
          <w:p w14:paraId="385060DF" w14:textId="77777777" w:rsidR="008645AB" w:rsidRDefault="008645AB" w:rsidP="000A3F57">
            <w:pPr>
              <w:pStyle w:val="ListParagraph"/>
              <w:numPr>
                <w:ilvl w:val="0"/>
                <w:numId w:val="0"/>
              </w:numPr>
              <w:spacing w:after="0" w:line="240" w:lineRule="auto"/>
              <w:ind w:left="196"/>
              <w:rPr>
                <w:rFonts w:cs="Arial"/>
              </w:rPr>
            </w:pPr>
            <w:r w:rsidRPr="000A3F57">
              <w:rPr>
                <w:rFonts w:cs="Arial"/>
              </w:rPr>
              <w:t>Impose University debt covenants to restrict level of borrowings to level it will not unduly impact on other University activities.</w:t>
            </w:r>
          </w:p>
          <w:p w14:paraId="7EA128AB" w14:textId="77777777" w:rsidR="000A3F57" w:rsidRPr="000A3F57" w:rsidRDefault="000A3F57" w:rsidP="000A3F57">
            <w:pPr>
              <w:pStyle w:val="ListParagraph"/>
              <w:numPr>
                <w:ilvl w:val="0"/>
                <w:numId w:val="0"/>
              </w:numPr>
              <w:spacing w:after="0" w:line="240" w:lineRule="auto"/>
              <w:ind w:left="196"/>
              <w:rPr>
                <w:rFonts w:cs="Arial"/>
              </w:rPr>
            </w:pPr>
          </w:p>
        </w:tc>
      </w:tr>
      <w:tr w:rsidR="008645AB" w:rsidRPr="000A3F57" w14:paraId="7CDD6886" w14:textId="77777777" w:rsidTr="000A3F57">
        <w:trPr>
          <w:trHeight w:val="247"/>
          <w:jc w:val="right"/>
        </w:trPr>
        <w:tc>
          <w:tcPr>
            <w:tcW w:w="1860" w:type="pct"/>
            <w:vAlign w:val="center"/>
          </w:tcPr>
          <w:p w14:paraId="733C8689" w14:textId="77777777" w:rsidR="008645AB" w:rsidRPr="000A3F57" w:rsidRDefault="008645AB" w:rsidP="000A3F57">
            <w:pPr>
              <w:pStyle w:val="ListParagraph"/>
              <w:numPr>
                <w:ilvl w:val="0"/>
                <w:numId w:val="0"/>
              </w:numPr>
              <w:spacing w:before="60" w:after="60"/>
              <w:ind w:left="284"/>
              <w:rPr>
                <w:rFonts w:cs="Arial"/>
                <w:b/>
              </w:rPr>
            </w:pPr>
            <w:r w:rsidRPr="000A3F57">
              <w:rPr>
                <w:rFonts w:cs="Arial"/>
              </w:rPr>
              <w:t>Refinancing Risk</w:t>
            </w:r>
          </w:p>
        </w:tc>
        <w:tc>
          <w:tcPr>
            <w:tcW w:w="3140" w:type="pct"/>
            <w:shd w:val="clear" w:color="auto" w:fill="auto"/>
            <w:vAlign w:val="center"/>
          </w:tcPr>
          <w:p w14:paraId="74021E11" w14:textId="77777777" w:rsidR="000A3F57" w:rsidRDefault="000A3F57" w:rsidP="000A3F57">
            <w:pPr>
              <w:pStyle w:val="ListParagraph"/>
              <w:numPr>
                <w:ilvl w:val="0"/>
                <w:numId w:val="0"/>
              </w:numPr>
              <w:spacing w:after="0" w:line="240" w:lineRule="auto"/>
              <w:ind w:left="196"/>
              <w:rPr>
                <w:rFonts w:cs="Arial"/>
              </w:rPr>
            </w:pPr>
          </w:p>
          <w:p w14:paraId="10486C63" w14:textId="77777777" w:rsidR="008645AB" w:rsidRPr="000A3F57" w:rsidRDefault="008645AB" w:rsidP="000A3F57">
            <w:pPr>
              <w:pStyle w:val="ListParagraph"/>
              <w:numPr>
                <w:ilvl w:val="0"/>
                <w:numId w:val="0"/>
              </w:numPr>
              <w:spacing w:after="0" w:line="240" w:lineRule="auto"/>
              <w:ind w:left="196"/>
              <w:rPr>
                <w:rFonts w:cs="Arial"/>
              </w:rPr>
            </w:pPr>
            <w:r w:rsidRPr="000A3F57">
              <w:rPr>
                <w:rFonts w:cs="Arial"/>
              </w:rPr>
              <w:t xml:space="preserve">Maintain strong credit standing. </w:t>
            </w:r>
          </w:p>
          <w:p w14:paraId="4572CF55" w14:textId="77777777" w:rsidR="008645AB" w:rsidRPr="000A3F57" w:rsidRDefault="008645AB" w:rsidP="000A3F57">
            <w:pPr>
              <w:pStyle w:val="ListParagraph"/>
              <w:numPr>
                <w:ilvl w:val="0"/>
                <w:numId w:val="0"/>
              </w:numPr>
              <w:spacing w:after="0" w:line="240" w:lineRule="auto"/>
              <w:ind w:left="196"/>
              <w:rPr>
                <w:rFonts w:cs="Arial"/>
              </w:rPr>
            </w:pPr>
            <w:r w:rsidRPr="000A3F57">
              <w:rPr>
                <w:rFonts w:cs="Arial"/>
              </w:rPr>
              <w:t>Monitor and forecast compliance with debt covenants.</w:t>
            </w:r>
          </w:p>
          <w:p w14:paraId="6088C0A6" w14:textId="77777777" w:rsidR="008645AB" w:rsidRPr="000A3F57" w:rsidRDefault="008645AB" w:rsidP="000A3F57">
            <w:pPr>
              <w:pStyle w:val="ListParagraph"/>
              <w:numPr>
                <w:ilvl w:val="0"/>
                <w:numId w:val="0"/>
              </w:numPr>
              <w:spacing w:after="0" w:line="240" w:lineRule="auto"/>
              <w:ind w:left="196"/>
              <w:rPr>
                <w:rFonts w:cs="Arial"/>
              </w:rPr>
            </w:pPr>
            <w:r w:rsidRPr="000A3F57">
              <w:rPr>
                <w:rFonts w:cs="Arial"/>
              </w:rPr>
              <w:t>Established borrowings across a range of maturity profiles.</w:t>
            </w:r>
          </w:p>
          <w:p w14:paraId="79539929" w14:textId="77777777" w:rsidR="008645AB" w:rsidRPr="000A3F57" w:rsidRDefault="008645AB" w:rsidP="000A3F57">
            <w:pPr>
              <w:pStyle w:val="ListParagraph"/>
              <w:numPr>
                <w:ilvl w:val="0"/>
                <w:numId w:val="0"/>
              </w:numPr>
              <w:spacing w:after="0" w:line="240" w:lineRule="auto"/>
              <w:ind w:left="196"/>
              <w:rPr>
                <w:rFonts w:cs="Arial"/>
              </w:rPr>
            </w:pPr>
            <w:r w:rsidRPr="000A3F57">
              <w:rPr>
                <w:rFonts w:cs="Arial"/>
              </w:rPr>
              <w:t>Monitor and forecast the capacity to service and repay outstanding debt.</w:t>
            </w:r>
          </w:p>
          <w:p w14:paraId="1727B993" w14:textId="77777777" w:rsidR="008645AB" w:rsidRPr="000A3F57" w:rsidRDefault="008645AB" w:rsidP="000A3F57">
            <w:pPr>
              <w:pStyle w:val="ListParagraph"/>
              <w:numPr>
                <w:ilvl w:val="0"/>
                <w:numId w:val="0"/>
              </w:numPr>
              <w:spacing w:after="0" w:line="240" w:lineRule="auto"/>
              <w:ind w:left="196"/>
              <w:rPr>
                <w:rFonts w:cs="Arial"/>
              </w:rPr>
            </w:pPr>
            <w:r w:rsidRPr="000A3F57">
              <w:rPr>
                <w:rFonts w:cs="Arial"/>
              </w:rPr>
              <w:t>Establish rolling refinancing arrangements where appropriate.</w:t>
            </w:r>
          </w:p>
          <w:p w14:paraId="6A0703A8" w14:textId="77777777" w:rsidR="008645AB" w:rsidRPr="000A3F57" w:rsidRDefault="008645AB" w:rsidP="000A3F57">
            <w:pPr>
              <w:pStyle w:val="ListParagraph"/>
              <w:numPr>
                <w:ilvl w:val="0"/>
                <w:numId w:val="0"/>
              </w:numPr>
              <w:spacing w:after="0" w:line="240" w:lineRule="auto"/>
              <w:ind w:left="196"/>
              <w:rPr>
                <w:rFonts w:cs="Arial"/>
              </w:rPr>
            </w:pPr>
            <w:r w:rsidRPr="000A3F57">
              <w:rPr>
                <w:rFonts w:cs="Arial"/>
              </w:rPr>
              <w:t>Assess refinancing of large maturities in advance.</w:t>
            </w:r>
          </w:p>
          <w:p w14:paraId="2A243A45" w14:textId="77777777" w:rsidR="008645AB" w:rsidRDefault="008645AB" w:rsidP="000A3F57">
            <w:pPr>
              <w:pStyle w:val="ListParagraph"/>
              <w:numPr>
                <w:ilvl w:val="0"/>
                <w:numId w:val="0"/>
              </w:numPr>
              <w:spacing w:after="0" w:line="240" w:lineRule="auto"/>
              <w:ind w:left="196"/>
              <w:rPr>
                <w:rFonts w:cs="Arial"/>
              </w:rPr>
            </w:pPr>
            <w:r w:rsidRPr="000A3F57">
              <w:rPr>
                <w:rFonts w:cs="Arial"/>
              </w:rPr>
              <w:t>Assess key financier risk.</w:t>
            </w:r>
          </w:p>
          <w:p w14:paraId="4ADC34AB" w14:textId="77777777" w:rsidR="000A3F57" w:rsidRPr="000A3F57" w:rsidRDefault="000A3F57" w:rsidP="000A3F57">
            <w:pPr>
              <w:pStyle w:val="ListParagraph"/>
              <w:numPr>
                <w:ilvl w:val="0"/>
                <w:numId w:val="0"/>
              </w:numPr>
              <w:spacing w:after="0" w:line="240" w:lineRule="auto"/>
              <w:ind w:left="196"/>
              <w:rPr>
                <w:rFonts w:cs="Arial"/>
              </w:rPr>
            </w:pPr>
          </w:p>
        </w:tc>
      </w:tr>
      <w:tr w:rsidR="008645AB" w:rsidRPr="000A3F57" w14:paraId="0EBE9D57" w14:textId="77777777" w:rsidTr="000A3F57">
        <w:trPr>
          <w:trHeight w:val="247"/>
          <w:jc w:val="right"/>
        </w:trPr>
        <w:tc>
          <w:tcPr>
            <w:tcW w:w="1860" w:type="pct"/>
            <w:vAlign w:val="center"/>
          </w:tcPr>
          <w:p w14:paraId="54FFC5CE" w14:textId="77777777" w:rsidR="008645AB" w:rsidRPr="000A3F57" w:rsidRDefault="008645AB" w:rsidP="000A3F57">
            <w:pPr>
              <w:pStyle w:val="ListParagraph"/>
              <w:numPr>
                <w:ilvl w:val="0"/>
                <w:numId w:val="0"/>
              </w:numPr>
              <w:spacing w:before="60" w:after="60"/>
              <w:ind w:left="284"/>
              <w:rPr>
                <w:rFonts w:cs="Arial"/>
                <w:b/>
              </w:rPr>
            </w:pPr>
            <w:r w:rsidRPr="000A3F57">
              <w:rPr>
                <w:rFonts w:cs="Arial"/>
              </w:rPr>
              <w:t>Operational and Other Risks</w:t>
            </w:r>
          </w:p>
        </w:tc>
        <w:tc>
          <w:tcPr>
            <w:tcW w:w="3140" w:type="pct"/>
            <w:shd w:val="clear" w:color="auto" w:fill="auto"/>
            <w:vAlign w:val="center"/>
          </w:tcPr>
          <w:p w14:paraId="735443AE" w14:textId="77777777" w:rsidR="000A3F57" w:rsidRDefault="000A3F57" w:rsidP="000A3F57">
            <w:pPr>
              <w:pStyle w:val="ListParagraph"/>
              <w:numPr>
                <w:ilvl w:val="0"/>
                <w:numId w:val="0"/>
              </w:numPr>
              <w:spacing w:after="0" w:line="240" w:lineRule="auto"/>
              <w:ind w:left="196"/>
              <w:rPr>
                <w:rFonts w:cs="Arial"/>
              </w:rPr>
            </w:pPr>
          </w:p>
          <w:p w14:paraId="02B54DDF" w14:textId="77777777" w:rsidR="008645AB" w:rsidRPr="000A3F57" w:rsidRDefault="008645AB" w:rsidP="000A3F57">
            <w:pPr>
              <w:pStyle w:val="ListParagraph"/>
              <w:numPr>
                <w:ilvl w:val="0"/>
                <w:numId w:val="0"/>
              </w:numPr>
              <w:spacing w:after="0" w:line="240" w:lineRule="auto"/>
              <w:ind w:left="196"/>
              <w:rPr>
                <w:rFonts w:cs="Arial"/>
              </w:rPr>
            </w:pPr>
            <w:r w:rsidRPr="000A3F57">
              <w:rPr>
                <w:rFonts w:cs="Arial"/>
              </w:rPr>
              <w:t>Maintain formal debt policy.</w:t>
            </w:r>
          </w:p>
          <w:p w14:paraId="0079079B" w14:textId="77777777" w:rsidR="008645AB" w:rsidRPr="000A3F57" w:rsidRDefault="008645AB" w:rsidP="000A3F57">
            <w:pPr>
              <w:pStyle w:val="ListParagraph"/>
              <w:numPr>
                <w:ilvl w:val="0"/>
                <w:numId w:val="0"/>
              </w:numPr>
              <w:spacing w:after="0" w:line="240" w:lineRule="auto"/>
              <w:ind w:left="196"/>
              <w:rPr>
                <w:rFonts w:cs="Arial"/>
              </w:rPr>
            </w:pPr>
            <w:r w:rsidRPr="000A3F57">
              <w:rPr>
                <w:rFonts w:cs="Arial"/>
              </w:rPr>
              <w:t>Establish and manage borrowings under the Chief Financial Officer only, with specific approval of Senate.</w:t>
            </w:r>
          </w:p>
          <w:p w14:paraId="3E258380" w14:textId="77777777" w:rsidR="008645AB" w:rsidRPr="000A3F57" w:rsidRDefault="008645AB" w:rsidP="000A3F57">
            <w:pPr>
              <w:pStyle w:val="ListParagraph"/>
              <w:numPr>
                <w:ilvl w:val="0"/>
                <w:numId w:val="0"/>
              </w:numPr>
              <w:spacing w:after="0" w:line="240" w:lineRule="auto"/>
              <w:ind w:left="196"/>
              <w:rPr>
                <w:rFonts w:cs="Arial"/>
              </w:rPr>
            </w:pPr>
            <w:r w:rsidRPr="000A3F57">
              <w:rPr>
                <w:rFonts w:cs="Arial"/>
              </w:rPr>
              <w:t>Ensure all borrowing documents subject to legal review.</w:t>
            </w:r>
          </w:p>
          <w:p w14:paraId="4032AD32" w14:textId="77777777" w:rsidR="008645AB" w:rsidRPr="000A3F57" w:rsidRDefault="008645AB" w:rsidP="000A3F57">
            <w:pPr>
              <w:pStyle w:val="ListParagraph"/>
              <w:numPr>
                <w:ilvl w:val="0"/>
                <w:numId w:val="0"/>
              </w:numPr>
              <w:spacing w:after="0" w:line="240" w:lineRule="auto"/>
              <w:ind w:left="196"/>
              <w:rPr>
                <w:rFonts w:cs="Arial"/>
              </w:rPr>
            </w:pPr>
            <w:r w:rsidRPr="000A3F57">
              <w:rPr>
                <w:rFonts w:cs="Arial"/>
              </w:rPr>
              <w:t>Maintain a specific debt management delegations register.</w:t>
            </w:r>
          </w:p>
          <w:p w14:paraId="732B2CE1" w14:textId="77777777" w:rsidR="008645AB" w:rsidRPr="000A3F57" w:rsidRDefault="008645AB" w:rsidP="000A3F57">
            <w:pPr>
              <w:pStyle w:val="ListParagraph"/>
              <w:numPr>
                <w:ilvl w:val="0"/>
                <w:numId w:val="0"/>
              </w:numPr>
              <w:spacing w:after="0" w:line="240" w:lineRule="auto"/>
              <w:ind w:left="196"/>
              <w:rPr>
                <w:rFonts w:cs="Arial"/>
              </w:rPr>
            </w:pPr>
            <w:r w:rsidRPr="000A3F57">
              <w:rPr>
                <w:rFonts w:cs="Arial"/>
              </w:rPr>
              <w:t>Maintain a debt management breach register.</w:t>
            </w:r>
          </w:p>
          <w:p w14:paraId="5A65AC26" w14:textId="77777777" w:rsidR="008645AB" w:rsidRDefault="008645AB" w:rsidP="000A3F57">
            <w:pPr>
              <w:pStyle w:val="ListParagraph"/>
              <w:numPr>
                <w:ilvl w:val="0"/>
                <w:numId w:val="0"/>
              </w:numPr>
              <w:spacing w:after="0" w:line="240" w:lineRule="auto"/>
              <w:ind w:left="196"/>
              <w:rPr>
                <w:rFonts w:cs="Arial"/>
              </w:rPr>
            </w:pPr>
            <w:r w:rsidRPr="000A3F57">
              <w:rPr>
                <w:rFonts w:cs="Arial"/>
              </w:rPr>
              <w:t>Obtain specific approval for borrowing denominated in foreign currency.</w:t>
            </w:r>
          </w:p>
          <w:p w14:paraId="098A03C0" w14:textId="77777777" w:rsidR="000A3F57" w:rsidRPr="000A3F57" w:rsidRDefault="000A3F57" w:rsidP="000A3F57">
            <w:pPr>
              <w:pStyle w:val="ListParagraph"/>
              <w:numPr>
                <w:ilvl w:val="0"/>
                <w:numId w:val="0"/>
              </w:numPr>
              <w:spacing w:after="0" w:line="240" w:lineRule="auto"/>
              <w:ind w:left="196"/>
              <w:rPr>
                <w:rFonts w:cs="Arial"/>
              </w:rPr>
            </w:pPr>
          </w:p>
        </w:tc>
      </w:tr>
    </w:tbl>
    <w:p w14:paraId="41A6DC1C" w14:textId="77777777" w:rsidR="008645AB" w:rsidRDefault="008645AB" w:rsidP="002A3D06">
      <w:pPr>
        <w:rPr>
          <w:rFonts w:eastAsia="Times New Roman"/>
          <w:b/>
          <w:color w:val="003087"/>
          <w:sz w:val="32"/>
          <w:szCs w:val="32"/>
        </w:rPr>
      </w:pPr>
    </w:p>
    <w:p w14:paraId="3956FF48" w14:textId="77777777" w:rsidR="008645AB" w:rsidRDefault="008645AB" w:rsidP="002A3D06">
      <w:pPr>
        <w:rPr>
          <w:rFonts w:eastAsia="Times New Roman"/>
          <w:b/>
          <w:color w:val="003087"/>
          <w:sz w:val="32"/>
          <w:szCs w:val="32"/>
        </w:rPr>
      </w:pPr>
    </w:p>
    <w:p w14:paraId="598C3037" w14:textId="77777777" w:rsidR="002A3D06" w:rsidRPr="002A3D06" w:rsidRDefault="002A3D06" w:rsidP="008645AB">
      <w:pPr>
        <w:pStyle w:val="Heading1"/>
      </w:pPr>
      <w:r w:rsidRPr="002A3D06">
        <w:t>Authorisation and Governance</w:t>
      </w:r>
    </w:p>
    <w:p w14:paraId="72229D9F" w14:textId="48074E13" w:rsidR="002A3D06" w:rsidRPr="002A3D06" w:rsidRDefault="002A3D06" w:rsidP="008645AB">
      <w:pPr>
        <w:pStyle w:val="ClauseA"/>
      </w:pPr>
      <w:r w:rsidRPr="002A3D06">
        <w:t>Senate has the ultimate responsibility for the management of the University’s debt portfolio. It does so by</w:t>
      </w:r>
      <w:r w:rsidR="004E4AAE">
        <w:t>:</w:t>
      </w:r>
    </w:p>
    <w:p w14:paraId="3505CF54" w14:textId="77777777" w:rsidR="002A3D06" w:rsidRPr="002A3D06" w:rsidRDefault="002A3D06" w:rsidP="008645AB">
      <w:pPr>
        <w:pStyle w:val="Clause1"/>
      </w:pPr>
      <w:r w:rsidRPr="002A3D06">
        <w:t xml:space="preserve">Establishing the strategic framework for the University’s external </w:t>
      </w:r>
      <w:proofErr w:type="gramStart"/>
      <w:r w:rsidRPr="002A3D06">
        <w:t>borrowings;</w:t>
      </w:r>
      <w:proofErr w:type="gramEnd"/>
    </w:p>
    <w:p w14:paraId="3AEF9904" w14:textId="77777777" w:rsidR="002A3D06" w:rsidRPr="002A3D06" w:rsidRDefault="002A3D06" w:rsidP="008645AB">
      <w:pPr>
        <w:pStyle w:val="Clause1"/>
      </w:pPr>
      <w:r w:rsidRPr="002A3D06">
        <w:t xml:space="preserve">Approval of the debt management policy and any subsequent amendments; and </w:t>
      </w:r>
    </w:p>
    <w:p w14:paraId="14CDFD95" w14:textId="7A2F1C1F" w:rsidR="002A3D06" w:rsidRPr="002A3D06" w:rsidRDefault="002A3D06" w:rsidP="008645AB">
      <w:pPr>
        <w:pStyle w:val="Clause1"/>
      </w:pPr>
      <w:r w:rsidRPr="002A3D06">
        <w:t xml:space="preserve">Approval of borrowing proposals </w:t>
      </w:r>
      <w:r w:rsidR="0090436A">
        <w:t>and establishment of</w:t>
      </w:r>
      <w:r w:rsidRPr="002A3D06">
        <w:t xml:space="preserve"> debt </w:t>
      </w:r>
      <w:r w:rsidR="005B0A0D">
        <w:t>facilities</w:t>
      </w:r>
      <w:r w:rsidRPr="002A3D06">
        <w:t>.</w:t>
      </w:r>
    </w:p>
    <w:p w14:paraId="3D85E969" w14:textId="5B4AFD47" w:rsidR="002A3D06" w:rsidRPr="002A3D06" w:rsidRDefault="002A3D06" w:rsidP="008604AC">
      <w:pPr>
        <w:pStyle w:val="ClauseA"/>
        <w:jc w:val="both"/>
      </w:pPr>
      <w:r w:rsidRPr="002A3D06">
        <w:t>As the relevant subcommittee of the Senate, the Strategic Resources Committee has overall responsibility for the oversight of the portfolio on behalf of the Senate. Its responsibilities include but not limited to</w:t>
      </w:r>
      <w:r w:rsidR="004E4AAE">
        <w:t>:</w:t>
      </w:r>
    </w:p>
    <w:p w14:paraId="55584865" w14:textId="77777777" w:rsidR="002A3D06" w:rsidRPr="002A3D06" w:rsidRDefault="002A3D06" w:rsidP="008645AB">
      <w:pPr>
        <w:pStyle w:val="Clause1"/>
      </w:pPr>
      <w:r w:rsidRPr="002A3D06">
        <w:t xml:space="preserve">Review the debt management policy and subsequent amendments recommended by the Chief Financial </w:t>
      </w:r>
      <w:proofErr w:type="gramStart"/>
      <w:r w:rsidRPr="002A3D06">
        <w:t>Officer;</w:t>
      </w:r>
      <w:proofErr w:type="gramEnd"/>
    </w:p>
    <w:p w14:paraId="36DE3012" w14:textId="77777777" w:rsidR="002A3D06" w:rsidRPr="002A3D06" w:rsidRDefault="002A3D06" w:rsidP="008645AB">
      <w:pPr>
        <w:pStyle w:val="Clause1"/>
      </w:pPr>
      <w:r w:rsidRPr="002A3D06">
        <w:t xml:space="preserve">Review the recommended approach to external borrowings within the framework approved by </w:t>
      </w:r>
      <w:proofErr w:type="gramStart"/>
      <w:r w:rsidRPr="002A3D06">
        <w:t>Senate;</w:t>
      </w:r>
      <w:proofErr w:type="gramEnd"/>
      <w:r w:rsidRPr="002A3D06">
        <w:t xml:space="preserve"> </w:t>
      </w:r>
    </w:p>
    <w:p w14:paraId="04E6F32A" w14:textId="77777777" w:rsidR="002A3D06" w:rsidRPr="002A3D06" w:rsidRDefault="002A3D06" w:rsidP="008645AB">
      <w:pPr>
        <w:pStyle w:val="Clause1"/>
      </w:pPr>
      <w:r w:rsidRPr="002A3D06">
        <w:t>Review borrowing proposals or other debt arrangements; and</w:t>
      </w:r>
    </w:p>
    <w:p w14:paraId="2B0B56D2" w14:textId="77777777" w:rsidR="002A3D06" w:rsidRPr="002A3D06" w:rsidRDefault="002A3D06" w:rsidP="008645AB">
      <w:pPr>
        <w:pStyle w:val="Clause1"/>
      </w:pPr>
      <w:r w:rsidRPr="002A3D06">
        <w:t>Monitor the performance of the portfolio.</w:t>
      </w:r>
    </w:p>
    <w:p w14:paraId="6D0E717B" w14:textId="66E3667B" w:rsidR="002A3D06" w:rsidRPr="002A3D06" w:rsidRDefault="002A3D06" w:rsidP="008645AB">
      <w:pPr>
        <w:pStyle w:val="ClauseA"/>
      </w:pPr>
      <w:r w:rsidRPr="002A3D06">
        <w:t>The Chief Financial Officer is responsible for the management and operation of the portfolio, including</w:t>
      </w:r>
      <w:r w:rsidR="004E4AAE">
        <w:t>:</w:t>
      </w:r>
    </w:p>
    <w:p w14:paraId="5E24688E" w14:textId="3CDF66C8" w:rsidR="002A3D06" w:rsidRPr="002A3D06" w:rsidRDefault="002A3D06" w:rsidP="008645AB">
      <w:pPr>
        <w:pStyle w:val="Clause1"/>
      </w:pPr>
      <w:r w:rsidRPr="002A3D06">
        <w:t xml:space="preserve">The routine review of the debt management </w:t>
      </w:r>
      <w:proofErr w:type="gramStart"/>
      <w:r w:rsidRPr="002A3D06">
        <w:t>policy;</w:t>
      </w:r>
      <w:proofErr w:type="gramEnd"/>
    </w:p>
    <w:p w14:paraId="35CBE694" w14:textId="0BF35EF9" w:rsidR="002A3D06" w:rsidRPr="002A3D06" w:rsidRDefault="002A3D06" w:rsidP="008645AB">
      <w:pPr>
        <w:pStyle w:val="Clause1"/>
      </w:pPr>
      <w:r w:rsidRPr="002A3D06">
        <w:t>The draft</w:t>
      </w:r>
      <w:r w:rsidR="00FE5944">
        <w:t>ing</w:t>
      </w:r>
      <w:r w:rsidRPr="002A3D06">
        <w:t xml:space="preserve"> and recommendation of borrowing </w:t>
      </w:r>
      <w:proofErr w:type="gramStart"/>
      <w:r w:rsidRPr="002A3D06">
        <w:t>proposals;</w:t>
      </w:r>
      <w:proofErr w:type="gramEnd"/>
    </w:p>
    <w:p w14:paraId="6A59912E" w14:textId="77777777" w:rsidR="002A3D06" w:rsidRPr="002A3D06" w:rsidRDefault="002A3D06" w:rsidP="008645AB">
      <w:pPr>
        <w:pStyle w:val="Clause1"/>
      </w:pPr>
      <w:r w:rsidRPr="002A3D06">
        <w:t xml:space="preserve">The recommendation of debt management </w:t>
      </w:r>
      <w:proofErr w:type="gramStart"/>
      <w:r w:rsidRPr="002A3D06">
        <w:t>strategies;</w:t>
      </w:r>
      <w:proofErr w:type="gramEnd"/>
    </w:p>
    <w:p w14:paraId="0923949D" w14:textId="77777777" w:rsidR="002A3D06" w:rsidRPr="002A3D06" w:rsidRDefault="002A3D06" w:rsidP="008645AB">
      <w:pPr>
        <w:pStyle w:val="Clause1"/>
      </w:pPr>
      <w:r w:rsidRPr="002A3D06">
        <w:t xml:space="preserve">Monitoring and reporting on the performance of the </w:t>
      </w:r>
      <w:proofErr w:type="gramStart"/>
      <w:r w:rsidRPr="002A3D06">
        <w:t>portfolio;</w:t>
      </w:r>
      <w:proofErr w:type="gramEnd"/>
    </w:p>
    <w:p w14:paraId="35090B06" w14:textId="77777777" w:rsidR="002A3D06" w:rsidRPr="002A3D06" w:rsidRDefault="002A3D06" w:rsidP="008645AB">
      <w:pPr>
        <w:pStyle w:val="Clause1"/>
      </w:pPr>
      <w:r w:rsidRPr="002A3D06">
        <w:t xml:space="preserve">Monitoring the compliance with the debt restrictions, policy and contractual obligations and report to the Strategic Resources Committee pursuant to this </w:t>
      </w:r>
      <w:proofErr w:type="gramStart"/>
      <w:r w:rsidRPr="002A3D06">
        <w:t>policy;</w:t>
      </w:r>
      <w:proofErr w:type="gramEnd"/>
    </w:p>
    <w:p w14:paraId="23D8F717" w14:textId="77777777" w:rsidR="00AE2824" w:rsidRDefault="002A3D06" w:rsidP="008645AB">
      <w:pPr>
        <w:pStyle w:val="Clause1"/>
      </w:pPr>
      <w:r w:rsidRPr="002A3D06">
        <w:t xml:space="preserve">Appointment and termination of external </w:t>
      </w:r>
      <w:proofErr w:type="gramStart"/>
      <w:r w:rsidRPr="002A3D06">
        <w:t>advisors;</w:t>
      </w:r>
      <w:proofErr w:type="gramEnd"/>
    </w:p>
    <w:p w14:paraId="36F8C3AA" w14:textId="6B39F9C6" w:rsidR="002A3D06" w:rsidRPr="002A3D06" w:rsidRDefault="00AE2824" w:rsidP="00B31A0F">
      <w:pPr>
        <w:pStyle w:val="Clause1"/>
      </w:pPr>
      <w:r>
        <w:t>Drawdown</w:t>
      </w:r>
      <w:r w:rsidR="004A3E6E">
        <w:t xml:space="preserve">, refinance and/or make repayments of </w:t>
      </w:r>
      <w:r>
        <w:t>debt</w:t>
      </w:r>
      <w:r w:rsidR="00331322">
        <w:t xml:space="preserve"> facilities</w:t>
      </w:r>
      <w:r>
        <w:t xml:space="preserve"> in accordance with Senate approved facilities</w:t>
      </w:r>
      <w:r w:rsidR="00B31A0F">
        <w:t xml:space="preserve"> and </w:t>
      </w:r>
      <w:r w:rsidR="00586527">
        <w:t xml:space="preserve">this </w:t>
      </w:r>
      <w:proofErr w:type="gramStart"/>
      <w:r w:rsidR="00586527">
        <w:t>policy</w:t>
      </w:r>
      <w:r w:rsidR="00A50010">
        <w:t>;</w:t>
      </w:r>
      <w:r>
        <w:t xml:space="preserve"> </w:t>
      </w:r>
      <w:r w:rsidR="002A3D06" w:rsidRPr="002A3D06">
        <w:t xml:space="preserve"> and</w:t>
      </w:r>
      <w:proofErr w:type="gramEnd"/>
    </w:p>
    <w:p w14:paraId="00772C79" w14:textId="77777777" w:rsidR="002A3D06" w:rsidRPr="002A3D06" w:rsidRDefault="002A3D06" w:rsidP="008645AB">
      <w:pPr>
        <w:pStyle w:val="Clause1"/>
      </w:pPr>
      <w:r w:rsidRPr="002A3D06">
        <w:t>Management of any other issues that arise in relation to the portfolio.</w:t>
      </w:r>
    </w:p>
    <w:p w14:paraId="76F1DE05" w14:textId="77777777" w:rsidR="002A3D06" w:rsidRPr="002A3D06" w:rsidRDefault="002A3D06" w:rsidP="008645AB">
      <w:pPr>
        <w:pStyle w:val="ClauseA"/>
      </w:pPr>
      <w:r w:rsidRPr="002A3D06">
        <w:t xml:space="preserve">Unless otherwise provided by this policy, the Chief Financial Officer shall have specific delegated authority in relation to the </w:t>
      </w:r>
      <w:proofErr w:type="gramStart"/>
      <w:r w:rsidRPr="002A3D06">
        <w:t>day to day</w:t>
      </w:r>
      <w:proofErr w:type="gramEnd"/>
      <w:r w:rsidRPr="002A3D06">
        <w:t xml:space="preserve"> management of the debt portfolio, as approved by the Vice Chancellor.</w:t>
      </w:r>
    </w:p>
    <w:p w14:paraId="37DF4B45" w14:textId="7C56C6D2" w:rsidR="002A3D06" w:rsidRPr="002A3D06" w:rsidRDefault="002A3D06" w:rsidP="008645AB">
      <w:pPr>
        <w:pStyle w:val="ClauseA"/>
      </w:pPr>
      <w:r w:rsidRPr="002A3D06">
        <w:t xml:space="preserve">Individual </w:t>
      </w:r>
      <w:r w:rsidR="00740675">
        <w:t>business units</w:t>
      </w:r>
      <w:r w:rsidRPr="002A3D06">
        <w:t xml:space="preserve"> are not </w:t>
      </w:r>
      <w:r w:rsidR="00740675">
        <w:t xml:space="preserve">separate </w:t>
      </w:r>
      <w:r w:rsidRPr="002A3D06">
        <w:t>legal entities and as such are not permitted to borrow funds.</w:t>
      </w:r>
    </w:p>
    <w:p w14:paraId="0C577933" w14:textId="77777777" w:rsidR="002A3D06" w:rsidRDefault="002A3D06" w:rsidP="008645AB">
      <w:pPr>
        <w:pStyle w:val="ClauseA"/>
      </w:pPr>
      <w:r w:rsidRPr="002A3D06">
        <w:t>Unless otherwise provided by this policy, the University shall comply with other University policies in relation to governance and recordkeeping as established and amended.</w:t>
      </w:r>
    </w:p>
    <w:p w14:paraId="12D158EB" w14:textId="77777777" w:rsidR="008645AB" w:rsidRPr="002A3D06" w:rsidRDefault="008645AB" w:rsidP="008645AB"/>
    <w:p w14:paraId="044CFC7A" w14:textId="77777777" w:rsidR="002A3D06" w:rsidRPr="002A3D06" w:rsidRDefault="002A3D06" w:rsidP="008645AB">
      <w:pPr>
        <w:pStyle w:val="Heading1"/>
      </w:pPr>
      <w:r w:rsidRPr="002A3D06">
        <w:lastRenderedPageBreak/>
        <w:t xml:space="preserve">Performance Reporting </w:t>
      </w:r>
    </w:p>
    <w:p w14:paraId="187E8447" w14:textId="77777777" w:rsidR="002A3D06" w:rsidRPr="002A3D06" w:rsidRDefault="002A3D06" w:rsidP="008645AB">
      <w:pPr>
        <w:pStyle w:val="ClauseA"/>
      </w:pPr>
      <w:r w:rsidRPr="002A3D06">
        <w:t>The University debt portfolio will be monitored on a monthly, quarterly and annual basis, with an annual assessment of rolling one, three and five-year results.</w:t>
      </w:r>
    </w:p>
    <w:p w14:paraId="48A554DC" w14:textId="6176E849" w:rsidR="002A3D06" w:rsidRPr="002A3D06" w:rsidRDefault="002A3D06" w:rsidP="008645AB">
      <w:pPr>
        <w:pStyle w:val="ClauseA"/>
      </w:pPr>
      <w:r w:rsidRPr="002A3D06">
        <w:t xml:space="preserve">The </w:t>
      </w:r>
      <w:proofErr w:type="gramStart"/>
      <w:r w:rsidRPr="002A3D06">
        <w:t>principle</w:t>
      </w:r>
      <w:proofErr w:type="gramEnd"/>
      <w:r w:rsidRPr="002A3D06">
        <w:t xml:space="preserve"> goals in monitoring the portfolio are to assess</w:t>
      </w:r>
      <w:r w:rsidR="004E4AAE">
        <w:t>:</w:t>
      </w:r>
    </w:p>
    <w:p w14:paraId="09B55730" w14:textId="77777777" w:rsidR="002A3D06" w:rsidRPr="002A3D06" w:rsidRDefault="002A3D06" w:rsidP="008645AB">
      <w:pPr>
        <w:pStyle w:val="Clause1"/>
      </w:pPr>
      <w:r w:rsidRPr="002A3D06">
        <w:t xml:space="preserve">the effectiveness of the source and structure of the </w:t>
      </w:r>
      <w:proofErr w:type="gramStart"/>
      <w:r w:rsidRPr="002A3D06">
        <w:t>borrowings;</w:t>
      </w:r>
      <w:proofErr w:type="gramEnd"/>
    </w:p>
    <w:p w14:paraId="0CDE890F" w14:textId="77777777" w:rsidR="002A3D06" w:rsidRPr="002A3D06" w:rsidRDefault="002A3D06" w:rsidP="008645AB">
      <w:pPr>
        <w:pStyle w:val="Clause1"/>
      </w:pPr>
      <w:r w:rsidRPr="002A3D06">
        <w:t xml:space="preserve">the management of associated financial </w:t>
      </w:r>
      <w:proofErr w:type="gramStart"/>
      <w:r w:rsidRPr="002A3D06">
        <w:t>risks;</w:t>
      </w:r>
      <w:proofErr w:type="gramEnd"/>
    </w:p>
    <w:p w14:paraId="503CB5E7" w14:textId="77777777" w:rsidR="002A3D06" w:rsidRPr="002A3D06" w:rsidRDefault="002A3D06" w:rsidP="008645AB">
      <w:pPr>
        <w:pStyle w:val="Clause1"/>
      </w:pPr>
      <w:r w:rsidRPr="002A3D06">
        <w:t xml:space="preserve">The level of unrestricted funds available to support all </w:t>
      </w:r>
      <w:r w:rsidR="00B70FB2" w:rsidRPr="00B70FB2">
        <w:rPr>
          <w:b/>
          <w:bCs/>
        </w:rPr>
        <w:t>Debt Service Cost</w:t>
      </w:r>
      <w:r w:rsidRPr="00B70FB2">
        <w:rPr>
          <w:b/>
          <w:bCs/>
        </w:rPr>
        <w:t>s</w:t>
      </w:r>
      <w:r w:rsidRPr="002A3D06">
        <w:t xml:space="preserve"> and potential amortisation of </w:t>
      </w:r>
      <w:proofErr w:type="gramStart"/>
      <w:r w:rsidRPr="002A3D06">
        <w:t>debt;</w:t>
      </w:r>
      <w:proofErr w:type="gramEnd"/>
    </w:p>
    <w:p w14:paraId="441B3443" w14:textId="77777777" w:rsidR="002A3D06" w:rsidRPr="002A3D06" w:rsidRDefault="002A3D06" w:rsidP="008645AB">
      <w:pPr>
        <w:pStyle w:val="Clause1"/>
      </w:pPr>
      <w:r w:rsidRPr="002A3D06">
        <w:t>the capacity to service the level of debt and the potential impact on the University’s credit standing; and</w:t>
      </w:r>
    </w:p>
    <w:p w14:paraId="62B0C3E8" w14:textId="77777777" w:rsidR="002A3D06" w:rsidRPr="002A3D06" w:rsidRDefault="002A3D06" w:rsidP="008645AB">
      <w:pPr>
        <w:pStyle w:val="Clause1"/>
      </w:pPr>
      <w:r w:rsidRPr="002A3D06">
        <w:t xml:space="preserve">that this policy and the terms and conditions imposed by lenders are strictly complied with. </w:t>
      </w:r>
    </w:p>
    <w:p w14:paraId="325885C1" w14:textId="29BA2C5C" w:rsidR="002A3D06" w:rsidRPr="002A3D06" w:rsidRDefault="002A3D06" w:rsidP="008645AB">
      <w:pPr>
        <w:pStyle w:val="ClauseA"/>
      </w:pPr>
      <w:r w:rsidRPr="002A3D06">
        <w:t xml:space="preserve">The Chief Financial Officer shall provide reports </w:t>
      </w:r>
      <w:r w:rsidR="005F0883">
        <w:t>six-monthly</w:t>
      </w:r>
      <w:r w:rsidR="00FE5944" w:rsidRPr="002A3D06">
        <w:t xml:space="preserve"> </w:t>
      </w:r>
      <w:r w:rsidRPr="002A3D06">
        <w:t>and annually to the Strategic Resources Committee and annually to the Audit and Risk Committee.</w:t>
      </w:r>
    </w:p>
    <w:p w14:paraId="09101B3A" w14:textId="77777777" w:rsidR="002A3D06" w:rsidRPr="002A3D06" w:rsidRDefault="002A3D06" w:rsidP="008645AB">
      <w:pPr>
        <w:pStyle w:val="ClauseA"/>
      </w:pPr>
      <w:r w:rsidRPr="002A3D06">
        <w:t>The Chief Financial Officer shall report to the Strategic Resources Committee on the commencement, material amendment and/or termination of any debt arrangement.</w:t>
      </w:r>
    </w:p>
    <w:p w14:paraId="49F138F1" w14:textId="66449837" w:rsidR="002A3D06" w:rsidRPr="002A3D06" w:rsidRDefault="002A3D06" w:rsidP="008645AB">
      <w:pPr>
        <w:pStyle w:val="ClauseA"/>
      </w:pPr>
      <w:r w:rsidRPr="002A3D06">
        <w:t xml:space="preserve">Any non-compliance with this policy and lender’s requirements shall be reported immediately to the Chief Financial Officer and where material the Vice-Chancellor and Chair of the Strategic Resources </w:t>
      </w:r>
      <w:proofErr w:type="gramStart"/>
      <w:r w:rsidRPr="002A3D06">
        <w:t>Committee;</w:t>
      </w:r>
      <w:proofErr w:type="gramEnd"/>
      <w:r w:rsidRPr="002A3D06">
        <w:t xml:space="preserve"> and to the next scheduled meeting of the Strategic Resources Committee.</w:t>
      </w:r>
    </w:p>
    <w:p w14:paraId="46224A38" w14:textId="77777777" w:rsidR="002A3D06" w:rsidRDefault="002A3D06" w:rsidP="008645AB">
      <w:pPr>
        <w:pStyle w:val="ClauseA"/>
      </w:pPr>
      <w:r w:rsidRPr="002A3D06">
        <w:t>Any remedial action to resolve non-compliance with this policy shall be approved by the Vice-Chancellor on the recommendation of the Chief Financial Officer.</w:t>
      </w:r>
    </w:p>
    <w:p w14:paraId="2C8629ED" w14:textId="77777777" w:rsidR="008645AB" w:rsidRPr="002A3D06" w:rsidRDefault="008645AB" w:rsidP="008645AB"/>
    <w:p w14:paraId="32032BEF" w14:textId="77777777" w:rsidR="002A3D06" w:rsidRPr="002A3D06" w:rsidRDefault="002A3D06" w:rsidP="008645AB">
      <w:pPr>
        <w:pStyle w:val="Heading1"/>
      </w:pPr>
      <w:r w:rsidRPr="002A3D06">
        <w:t>External Advisors</w:t>
      </w:r>
    </w:p>
    <w:p w14:paraId="3EB94A90" w14:textId="70906B2A" w:rsidR="002A3D06" w:rsidRPr="002A3D06" w:rsidRDefault="002A3D06" w:rsidP="008645AB">
      <w:pPr>
        <w:pStyle w:val="ClauseA"/>
      </w:pPr>
      <w:r w:rsidRPr="002A3D06">
        <w:t>Professional advisors may be appointed from time to time to assist with</w:t>
      </w:r>
      <w:r w:rsidR="00C24D01">
        <w:t>:</w:t>
      </w:r>
    </w:p>
    <w:p w14:paraId="656E4EE0" w14:textId="77777777" w:rsidR="002A3D06" w:rsidRPr="002A3D06" w:rsidRDefault="002A3D06" w:rsidP="008645AB">
      <w:pPr>
        <w:pStyle w:val="Clause1"/>
      </w:pPr>
      <w:r w:rsidRPr="002A3D06">
        <w:t xml:space="preserve">The University’s debt raising </w:t>
      </w:r>
      <w:proofErr w:type="gramStart"/>
      <w:r w:rsidRPr="002A3D06">
        <w:t>activities;</w:t>
      </w:r>
      <w:proofErr w:type="gramEnd"/>
    </w:p>
    <w:p w14:paraId="53D4DC0A" w14:textId="77777777" w:rsidR="002A3D06" w:rsidRPr="002A3D06" w:rsidRDefault="002A3D06" w:rsidP="008645AB">
      <w:pPr>
        <w:pStyle w:val="Clause1"/>
      </w:pPr>
      <w:r w:rsidRPr="002A3D06">
        <w:t xml:space="preserve">The review of the debt management policy where the extent or type of change recommended is considered significant or at any other time it is deemed </w:t>
      </w:r>
      <w:proofErr w:type="gramStart"/>
      <w:r w:rsidRPr="002A3D06">
        <w:t>appropriate;</w:t>
      </w:r>
      <w:proofErr w:type="gramEnd"/>
      <w:r w:rsidRPr="002A3D06">
        <w:t xml:space="preserve"> </w:t>
      </w:r>
    </w:p>
    <w:p w14:paraId="280A3E5B" w14:textId="77777777" w:rsidR="002A3D06" w:rsidRPr="002A3D06" w:rsidRDefault="002A3D06" w:rsidP="008645AB">
      <w:pPr>
        <w:pStyle w:val="Clause1"/>
      </w:pPr>
      <w:r w:rsidRPr="002A3D06">
        <w:t>Any other activities the University deems necessary; or</w:t>
      </w:r>
    </w:p>
    <w:p w14:paraId="2C06F0EB" w14:textId="77777777" w:rsidR="002A3D06" w:rsidRDefault="002A3D06" w:rsidP="008645AB">
      <w:pPr>
        <w:pStyle w:val="Clause1"/>
      </w:pPr>
      <w:r w:rsidRPr="002A3D06">
        <w:t>Where requested by Senate or the Strategic Resource Committee.</w:t>
      </w:r>
    </w:p>
    <w:p w14:paraId="21552244" w14:textId="77777777" w:rsidR="008645AB" w:rsidRPr="002A3D06" w:rsidRDefault="008645AB" w:rsidP="008645AB"/>
    <w:p w14:paraId="5A105BB3" w14:textId="77777777" w:rsidR="002A3D06" w:rsidRPr="002A3D06" w:rsidRDefault="002A3D06" w:rsidP="008645AB">
      <w:pPr>
        <w:pStyle w:val="Heading1"/>
      </w:pPr>
      <w:r w:rsidRPr="002A3D06">
        <w:t>Review of Policy</w:t>
      </w:r>
    </w:p>
    <w:p w14:paraId="409AC96E" w14:textId="77777777" w:rsidR="002A3D06" w:rsidRPr="002A3D06" w:rsidRDefault="002A3D06" w:rsidP="008645AB">
      <w:pPr>
        <w:pStyle w:val="ClauseA"/>
      </w:pPr>
      <w:r w:rsidRPr="002A3D06">
        <w:t>This Policy shall be formally reviewed every two years or more frequently if circumstances warrant.</w:t>
      </w:r>
    </w:p>
    <w:p w14:paraId="0D2E4DEA" w14:textId="77777777" w:rsidR="002A3D06" w:rsidRPr="002A3D06" w:rsidRDefault="002A3D06" w:rsidP="008604AC">
      <w:pPr>
        <w:pStyle w:val="ClauseA"/>
        <w:jc w:val="both"/>
      </w:pPr>
      <w:r w:rsidRPr="002A3D06">
        <w:lastRenderedPageBreak/>
        <w:t>The policy reviews shall be convened by the Chief Financial Officer and recommendations for change documented and presented to Strategic Resources Committee for recommendation to Senate.</w:t>
      </w:r>
    </w:p>
    <w:p w14:paraId="446FD263" w14:textId="77777777" w:rsidR="002A3D06" w:rsidRPr="002A3D06" w:rsidRDefault="002A3D06" w:rsidP="008645AB"/>
    <w:p w14:paraId="10E70BA4" w14:textId="77777777" w:rsidR="002A3D06" w:rsidRPr="002A3D06" w:rsidRDefault="002A3D06" w:rsidP="008645AB">
      <w:pPr>
        <w:pStyle w:val="Heading1"/>
      </w:pPr>
      <w:r w:rsidRPr="002A3D06">
        <w:t>Effective Date of Policy</w:t>
      </w:r>
    </w:p>
    <w:p w14:paraId="0AB646BB" w14:textId="77777777" w:rsidR="002A3D06" w:rsidRPr="002A3D06" w:rsidRDefault="002A3D06" w:rsidP="008645AB">
      <w:pPr>
        <w:pStyle w:val="ClauseA"/>
      </w:pPr>
      <w:r w:rsidRPr="002A3D06">
        <w:t>The debt management policy comes into effect immediately upon being approved by Senate and replaces any previous policies.</w:t>
      </w:r>
    </w:p>
    <w:p w14:paraId="3B959CE2" w14:textId="77777777" w:rsidR="006C71F3" w:rsidRDefault="006C71F3" w:rsidP="006C71F3"/>
    <w:p w14:paraId="75B05BB2" w14:textId="77777777" w:rsidR="006C71F3" w:rsidRDefault="006C71F3" w:rsidP="006C71F3">
      <w:pPr>
        <w:pStyle w:val="End"/>
      </w:pPr>
      <w:r w:rsidRPr="008552C5">
        <w:t>Definitions</w:t>
      </w:r>
    </w:p>
    <w:p w14:paraId="5AA9721F" w14:textId="77777777" w:rsidR="008645AB" w:rsidRPr="00605E37" w:rsidRDefault="00B70FB2" w:rsidP="008645AB">
      <w:r>
        <w:rPr>
          <w:b/>
        </w:rPr>
        <w:t>Borrowing Costs</w:t>
      </w:r>
      <w:r w:rsidR="008645AB" w:rsidRPr="00605E37">
        <w:t xml:space="preserve"> mean interest and other costs the University incurs in relation to the borrowing of funds.</w:t>
      </w:r>
    </w:p>
    <w:p w14:paraId="318C0101" w14:textId="77777777" w:rsidR="008645AB" w:rsidRPr="00605E37" w:rsidRDefault="008645AB" w:rsidP="008645AB">
      <w:bookmarkStart w:id="2" w:name="_Hlk105589518"/>
      <w:r w:rsidRPr="00605E37">
        <w:rPr>
          <w:b/>
        </w:rPr>
        <w:t>Debt Services Costs</w:t>
      </w:r>
      <w:r w:rsidRPr="00605E37">
        <w:t xml:space="preserve"> include </w:t>
      </w:r>
      <w:r w:rsidR="00B70FB2">
        <w:t>Borrowing Costs</w:t>
      </w:r>
      <w:r w:rsidRPr="00605E37">
        <w:t xml:space="preserve"> and </w:t>
      </w:r>
      <w:proofErr w:type="gramStart"/>
      <w:r w:rsidRPr="00605E37">
        <w:t>scheduled</w:t>
      </w:r>
      <w:proofErr w:type="gramEnd"/>
      <w:r w:rsidRPr="00605E37">
        <w:t xml:space="preserve"> regular principal repayments but excludes temporary debt reduction.</w:t>
      </w:r>
    </w:p>
    <w:bookmarkEnd w:id="2"/>
    <w:p w14:paraId="630F52DC" w14:textId="77777777" w:rsidR="008645AB" w:rsidRPr="00605E37" w:rsidRDefault="008645AB" w:rsidP="008645AB">
      <w:r w:rsidRPr="00605E37">
        <w:rPr>
          <w:b/>
        </w:rPr>
        <w:t>Debt Service Coverage</w:t>
      </w:r>
      <w:r w:rsidRPr="00605E37">
        <w:t xml:space="preserve"> is a debt covenant under the University’s debt management policy which measures the University’s capacity to meet is debt servicing obligations from operating cash flows.</w:t>
      </w:r>
    </w:p>
    <w:p w14:paraId="5DEAB768" w14:textId="6F6C2DC1" w:rsidR="008645AB" w:rsidRPr="00605E37" w:rsidRDefault="008645AB" w:rsidP="008645AB">
      <w:r w:rsidRPr="00605E37">
        <w:t xml:space="preserve">Calculation formula: Operating surplus before interest and depreciation/Debt </w:t>
      </w:r>
      <w:r w:rsidR="00B70FB2" w:rsidRPr="00605E37">
        <w:t>Service Cost</w:t>
      </w:r>
      <w:r w:rsidRPr="00605E37">
        <w:t>s</w:t>
      </w:r>
    </w:p>
    <w:p w14:paraId="108B09CB" w14:textId="77777777" w:rsidR="008645AB" w:rsidRPr="00605E37" w:rsidRDefault="008645AB" w:rsidP="008645AB">
      <w:pPr>
        <w:rPr>
          <w:b/>
        </w:rPr>
      </w:pPr>
      <w:r w:rsidRPr="00605E37">
        <w:rPr>
          <w:b/>
        </w:rPr>
        <w:t xml:space="preserve">Gearing Ratio </w:t>
      </w:r>
      <w:r w:rsidRPr="00605E37">
        <w:t>is a debt covenant under the University’s debt management policy which measures the University’s debt to net assets.</w:t>
      </w:r>
    </w:p>
    <w:p w14:paraId="410371A2" w14:textId="77777777" w:rsidR="008645AB" w:rsidRPr="00605E37" w:rsidRDefault="008645AB" w:rsidP="008645AB">
      <w:r w:rsidRPr="00605E37">
        <w:t>Calculation formula: Total Debt/Equity</w:t>
      </w:r>
    </w:p>
    <w:p w14:paraId="3C2B393B" w14:textId="77777777" w:rsidR="008645AB" w:rsidRPr="00605E37" w:rsidRDefault="008645AB" w:rsidP="008645AB">
      <w:r w:rsidRPr="00605E37">
        <w:rPr>
          <w:b/>
        </w:rPr>
        <w:t>Real Property Leasehold Interest</w:t>
      </w:r>
      <w:r w:rsidRPr="00605E37">
        <w:t xml:space="preserve"> means a leasehold interest is a grant for exclusive possession of property over a specified area for a specified </w:t>
      </w:r>
      <w:proofErr w:type="gramStart"/>
      <w:r w:rsidRPr="00605E37">
        <w:t>period of time</w:t>
      </w:r>
      <w:proofErr w:type="gramEnd"/>
      <w:r w:rsidRPr="00605E37">
        <w:t xml:space="preserve"> under specified conditions.</w:t>
      </w:r>
    </w:p>
    <w:p w14:paraId="613F5D0E" w14:textId="77777777" w:rsidR="008645AB" w:rsidRPr="00605E37" w:rsidRDefault="008645AB" w:rsidP="008645AB">
      <w:r w:rsidRPr="00605E37">
        <w:rPr>
          <w:b/>
        </w:rPr>
        <w:t>Long Term Real Property Leasehold Interests</w:t>
      </w:r>
      <w:r w:rsidRPr="00605E37">
        <w:t xml:space="preserve"> means the leasehold interest is granted for land, buildings or infrastructure, the term of the leasehold interest is not less than the useful life of the asset or 50 years and the leasehold interest is recognised as a finance lease under the Australian Accounting Standards and other regulatory frameworks.</w:t>
      </w:r>
    </w:p>
    <w:p w14:paraId="56E1CD02" w14:textId="24243CED" w:rsidR="008645AB" w:rsidRPr="00605E37" w:rsidRDefault="008645AB" w:rsidP="008645AB">
      <w:pPr>
        <w:rPr>
          <w:b/>
        </w:rPr>
      </w:pPr>
      <w:r w:rsidRPr="00605E37">
        <w:rPr>
          <w:b/>
        </w:rPr>
        <w:t xml:space="preserve">Minimum Level of Unrestricted Funds </w:t>
      </w:r>
      <w:r w:rsidRPr="00605E37">
        <w:t xml:space="preserve">is a risk management strategy calculated as the amount of the outstanding borrowing facilities (excluding overdraft or liquidity facilities) times the benchmark current maturities at clause </w:t>
      </w:r>
      <w:r w:rsidR="009B2D96">
        <w:t>8(B).</w:t>
      </w:r>
    </w:p>
    <w:p w14:paraId="2F82A749" w14:textId="77777777" w:rsidR="008645AB" w:rsidRPr="00605E37" w:rsidRDefault="00D9147A" w:rsidP="008645AB">
      <w:r>
        <w:rPr>
          <w:b/>
        </w:rPr>
        <w:t>Restricted Asset</w:t>
      </w:r>
      <w:r w:rsidR="008645AB" w:rsidRPr="00605E37">
        <w:rPr>
          <w:b/>
        </w:rPr>
        <w:t>s</w:t>
      </w:r>
      <w:r w:rsidR="008645AB" w:rsidRPr="00605E37">
        <w:t xml:space="preserve"> means </w:t>
      </w:r>
      <w:r>
        <w:t>Restricted Asset</w:t>
      </w:r>
      <w:r w:rsidR="008645AB" w:rsidRPr="00605E37">
        <w:t xml:space="preserve">s as defined by the University for financial reporting requirements. In </w:t>
      </w:r>
      <w:proofErr w:type="gramStart"/>
      <w:r w:rsidR="008645AB" w:rsidRPr="00605E37">
        <w:t>principal</w:t>
      </w:r>
      <w:proofErr w:type="gramEnd"/>
      <w:r w:rsidR="008645AB" w:rsidRPr="00605E37">
        <w:t>, assets which are considered to be of a specific restricted nature due to an external requirement and may include research funds, endowment and gifted funds and special collections.</w:t>
      </w:r>
    </w:p>
    <w:p w14:paraId="42586207" w14:textId="77777777" w:rsidR="008645AB" w:rsidRPr="00605E37" w:rsidRDefault="008645AB" w:rsidP="008645AB">
      <w:r w:rsidRPr="00605E37">
        <w:rPr>
          <w:b/>
        </w:rPr>
        <w:t>Self-Supported Capital Assets</w:t>
      </w:r>
      <w:r w:rsidRPr="00605E37">
        <w:t xml:space="preserve"> mean land, building or infrastructure assets which generate additional net income through an income stream or budgetary savings that is sufficient to support debt service costs and support approval of a business case as a standalone project.</w:t>
      </w:r>
    </w:p>
    <w:p w14:paraId="75829215" w14:textId="77777777" w:rsidR="00E05796" w:rsidRDefault="006C71F3" w:rsidP="006C71F3">
      <w:pPr>
        <w:pStyle w:val="End"/>
      </w:pPr>
      <w:r w:rsidRPr="007547E8">
        <w:lastRenderedPageBreak/>
        <w:t>End</w:t>
      </w:r>
    </w:p>
    <w:sectPr w:rsidR="00E05796" w:rsidSect="00413131">
      <w:footerReference w:type="default" r:id="rId10"/>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700F60" w14:textId="77777777" w:rsidR="00A4298D" w:rsidRDefault="00A4298D" w:rsidP="0040732E">
      <w:r>
        <w:separator/>
      </w:r>
    </w:p>
  </w:endnote>
  <w:endnote w:type="continuationSeparator" w:id="0">
    <w:p w14:paraId="193D7A14" w14:textId="77777777" w:rsidR="00A4298D" w:rsidRDefault="00A4298D" w:rsidP="004073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WA">
    <w:altName w:val="Courier New"/>
    <w:panose1 w:val="00000000000000000000"/>
    <w:charset w:val="00"/>
    <w:family w:val="moder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796C7" w14:textId="77777777" w:rsidR="00BF50B7" w:rsidRDefault="00BF50B7">
    <w:pPr>
      <w:pStyle w:val="Footer"/>
      <w:jc w:val="right"/>
    </w:pPr>
  </w:p>
  <w:p w14:paraId="3CD0330D" w14:textId="77777777" w:rsidR="00BF50B7" w:rsidRDefault="00BF50B7" w:rsidP="00BF50B7">
    <w:pPr>
      <w:pStyle w:val="Footer"/>
    </w:pPr>
    <w:r>
      <w:t>University of Western Australia</w:t>
    </w:r>
  </w:p>
  <w:p w14:paraId="1A433CA3" w14:textId="77777777" w:rsidR="00BF50B7" w:rsidRDefault="00BF50B7" w:rsidP="00BF50B7">
    <w:pPr>
      <w:pStyle w:val="Footer"/>
    </w:pPr>
    <w:r>
      <w:t>uwa.edu.au/policy</w:t>
    </w:r>
  </w:p>
  <w:p w14:paraId="2079F48F" w14:textId="77777777" w:rsidR="00D421B6" w:rsidRPr="003922AB" w:rsidRDefault="00BF50B7" w:rsidP="00BF50B7">
    <w:pPr>
      <w:pStyle w:val="Footer"/>
      <w:jc w:val="right"/>
    </w:pPr>
    <w:r>
      <w:fldChar w:fldCharType="begin"/>
    </w:r>
    <w:r>
      <w:instrText xml:space="preserve"> PAGE   \* MERGEFORMAT </w:instrText>
    </w:r>
    <w:r>
      <w:fldChar w:fldCharType="separate"/>
    </w:r>
    <w:r w:rsidR="00EA17C7">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885E82" w14:textId="77777777" w:rsidR="00A4298D" w:rsidRDefault="00A4298D" w:rsidP="0040732E">
      <w:r>
        <w:separator/>
      </w:r>
    </w:p>
  </w:footnote>
  <w:footnote w:type="continuationSeparator" w:id="0">
    <w:p w14:paraId="19403439" w14:textId="77777777" w:rsidR="00A4298D" w:rsidRDefault="00A4298D" w:rsidP="004073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A6E9CA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4D809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5D6016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4EC7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DDC790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12496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79CBC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73228C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9EEE40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3C429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253B1"/>
    <w:multiLevelType w:val="hybridMultilevel"/>
    <w:tmpl w:val="6BD44102"/>
    <w:lvl w:ilvl="0" w:tplc="B4281016">
      <w:start w:val="1"/>
      <w:numFmt w:val="decimal"/>
      <w:pStyle w:val="Style2"/>
      <w:lvlText w:val="(%1)."/>
      <w:lvlJc w:val="left"/>
      <w:pPr>
        <w:ind w:left="2700" w:hanging="360"/>
      </w:pPr>
      <w:rPr>
        <w:rFonts w:hint="default"/>
      </w:rPr>
    </w:lvl>
    <w:lvl w:ilvl="1" w:tplc="0C090019">
      <w:start w:val="1"/>
      <w:numFmt w:val="lowerLetter"/>
      <w:lvlText w:val="%2."/>
      <w:lvlJc w:val="left"/>
      <w:pPr>
        <w:ind w:left="3420" w:hanging="360"/>
      </w:pPr>
    </w:lvl>
    <w:lvl w:ilvl="2" w:tplc="0C09001B" w:tentative="1">
      <w:start w:val="1"/>
      <w:numFmt w:val="lowerRoman"/>
      <w:lvlText w:val="%3."/>
      <w:lvlJc w:val="right"/>
      <w:pPr>
        <w:ind w:left="4140" w:hanging="180"/>
      </w:pPr>
    </w:lvl>
    <w:lvl w:ilvl="3" w:tplc="0C09000F" w:tentative="1">
      <w:start w:val="1"/>
      <w:numFmt w:val="decimal"/>
      <w:lvlText w:val="%4."/>
      <w:lvlJc w:val="left"/>
      <w:pPr>
        <w:ind w:left="4860" w:hanging="360"/>
      </w:pPr>
    </w:lvl>
    <w:lvl w:ilvl="4" w:tplc="0C090019" w:tentative="1">
      <w:start w:val="1"/>
      <w:numFmt w:val="lowerLetter"/>
      <w:lvlText w:val="%5."/>
      <w:lvlJc w:val="left"/>
      <w:pPr>
        <w:ind w:left="5580" w:hanging="360"/>
      </w:pPr>
    </w:lvl>
    <w:lvl w:ilvl="5" w:tplc="0C09001B" w:tentative="1">
      <w:start w:val="1"/>
      <w:numFmt w:val="lowerRoman"/>
      <w:lvlText w:val="%6."/>
      <w:lvlJc w:val="right"/>
      <w:pPr>
        <w:ind w:left="6300" w:hanging="180"/>
      </w:pPr>
    </w:lvl>
    <w:lvl w:ilvl="6" w:tplc="0C09000F" w:tentative="1">
      <w:start w:val="1"/>
      <w:numFmt w:val="decimal"/>
      <w:lvlText w:val="%7."/>
      <w:lvlJc w:val="left"/>
      <w:pPr>
        <w:ind w:left="7020" w:hanging="360"/>
      </w:pPr>
    </w:lvl>
    <w:lvl w:ilvl="7" w:tplc="0C090019" w:tentative="1">
      <w:start w:val="1"/>
      <w:numFmt w:val="lowerLetter"/>
      <w:lvlText w:val="%8."/>
      <w:lvlJc w:val="left"/>
      <w:pPr>
        <w:ind w:left="7740" w:hanging="360"/>
      </w:pPr>
    </w:lvl>
    <w:lvl w:ilvl="8" w:tplc="0C09001B" w:tentative="1">
      <w:start w:val="1"/>
      <w:numFmt w:val="lowerRoman"/>
      <w:lvlText w:val="%9."/>
      <w:lvlJc w:val="right"/>
      <w:pPr>
        <w:ind w:left="8460" w:hanging="180"/>
      </w:pPr>
    </w:lvl>
  </w:abstractNum>
  <w:abstractNum w:abstractNumId="11" w15:restartNumberingAfterBreak="0">
    <w:nsid w:val="0DD8583C"/>
    <w:multiLevelType w:val="hybridMultilevel"/>
    <w:tmpl w:val="851C1A7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103E3F58"/>
    <w:multiLevelType w:val="singleLevel"/>
    <w:tmpl w:val="937A1DEC"/>
    <w:lvl w:ilvl="0">
      <w:start w:val="1"/>
      <w:numFmt w:val="bullet"/>
      <w:pStyle w:val="ListBulletTable2"/>
      <w:lvlText w:val="·"/>
      <w:lvlJc w:val="left"/>
      <w:pPr>
        <w:tabs>
          <w:tab w:val="left" w:pos="284"/>
        </w:tabs>
        <w:ind w:left="284" w:hanging="284"/>
      </w:pPr>
      <w:rPr>
        <w:rFonts w:ascii="Symbol" w:hAnsi="Symbol" w:hint="default"/>
        <w:b w:val="0"/>
        <w:i w:val="0"/>
        <w:sz w:val="18"/>
        <w:szCs w:val="18"/>
      </w:rPr>
    </w:lvl>
  </w:abstractNum>
  <w:abstractNum w:abstractNumId="13" w15:restartNumberingAfterBreak="0">
    <w:nsid w:val="28C247E6"/>
    <w:multiLevelType w:val="hybridMultilevel"/>
    <w:tmpl w:val="1DFCC662"/>
    <w:lvl w:ilvl="0" w:tplc="305451B2">
      <w:start w:val="1"/>
      <w:numFmt w:val="bullet"/>
      <w:pStyle w:val="ListParagraph"/>
      <w:lvlText w:val=""/>
      <w:lvlJc w:val="left"/>
      <w:pPr>
        <w:ind w:left="1211" w:hanging="360"/>
      </w:pPr>
      <w:rPr>
        <w:rFonts w:ascii="Symbol" w:hAnsi="Symbol" w:hint="default"/>
      </w:rPr>
    </w:lvl>
    <w:lvl w:ilvl="1" w:tplc="0C090003">
      <w:start w:val="1"/>
      <w:numFmt w:val="bullet"/>
      <w:lvlText w:val="o"/>
      <w:lvlJc w:val="left"/>
      <w:pPr>
        <w:ind w:left="1931" w:hanging="360"/>
      </w:pPr>
      <w:rPr>
        <w:rFonts w:ascii="Courier New" w:hAnsi="Courier New" w:cs="Courier New" w:hint="default"/>
      </w:rPr>
    </w:lvl>
    <w:lvl w:ilvl="2" w:tplc="0C090005" w:tentative="1">
      <w:start w:val="1"/>
      <w:numFmt w:val="bullet"/>
      <w:lvlText w:val=""/>
      <w:lvlJc w:val="left"/>
      <w:pPr>
        <w:ind w:left="2651" w:hanging="360"/>
      </w:pPr>
      <w:rPr>
        <w:rFonts w:ascii="Wingdings" w:hAnsi="Wingdings" w:hint="default"/>
      </w:rPr>
    </w:lvl>
    <w:lvl w:ilvl="3" w:tplc="0C090001" w:tentative="1">
      <w:start w:val="1"/>
      <w:numFmt w:val="bullet"/>
      <w:lvlText w:val=""/>
      <w:lvlJc w:val="left"/>
      <w:pPr>
        <w:ind w:left="3371" w:hanging="360"/>
      </w:pPr>
      <w:rPr>
        <w:rFonts w:ascii="Symbol" w:hAnsi="Symbol" w:hint="default"/>
      </w:rPr>
    </w:lvl>
    <w:lvl w:ilvl="4" w:tplc="0C090003" w:tentative="1">
      <w:start w:val="1"/>
      <w:numFmt w:val="bullet"/>
      <w:lvlText w:val="o"/>
      <w:lvlJc w:val="left"/>
      <w:pPr>
        <w:ind w:left="4091" w:hanging="360"/>
      </w:pPr>
      <w:rPr>
        <w:rFonts w:ascii="Courier New" w:hAnsi="Courier New" w:cs="Courier New" w:hint="default"/>
      </w:rPr>
    </w:lvl>
    <w:lvl w:ilvl="5" w:tplc="0C090005" w:tentative="1">
      <w:start w:val="1"/>
      <w:numFmt w:val="bullet"/>
      <w:lvlText w:val=""/>
      <w:lvlJc w:val="left"/>
      <w:pPr>
        <w:ind w:left="4811" w:hanging="360"/>
      </w:pPr>
      <w:rPr>
        <w:rFonts w:ascii="Wingdings" w:hAnsi="Wingdings" w:hint="default"/>
      </w:rPr>
    </w:lvl>
    <w:lvl w:ilvl="6" w:tplc="0C090001" w:tentative="1">
      <w:start w:val="1"/>
      <w:numFmt w:val="bullet"/>
      <w:lvlText w:val=""/>
      <w:lvlJc w:val="left"/>
      <w:pPr>
        <w:ind w:left="5531" w:hanging="360"/>
      </w:pPr>
      <w:rPr>
        <w:rFonts w:ascii="Symbol" w:hAnsi="Symbol" w:hint="default"/>
      </w:rPr>
    </w:lvl>
    <w:lvl w:ilvl="7" w:tplc="0C090003" w:tentative="1">
      <w:start w:val="1"/>
      <w:numFmt w:val="bullet"/>
      <w:lvlText w:val="o"/>
      <w:lvlJc w:val="left"/>
      <w:pPr>
        <w:ind w:left="6251" w:hanging="360"/>
      </w:pPr>
      <w:rPr>
        <w:rFonts w:ascii="Courier New" w:hAnsi="Courier New" w:cs="Courier New" w:hint="default"/>
      </w:rPr>
    </w:lvl>
    <w:lvl w:ilvl="8" w:tplc="0C090005" w:tentative="1">
      <w:start w:val="1"/>
      <w:numFmt w:val="bullet"/>
      <w:lvlText w:val=""/>
      <w:lvlJc w:val="left"/>
      <w:pPr>
        <w:ind w:left="6971" w:hanging="360"/>
      </w:pPr>
      <w:rPr>
        <w:rFonts w:ascii="Wingdings" w:hAnsi="Wingdings" w:hint="default"/>
      </w:rPr>
    </w:lvl>
  </w:abstractNum>
  <w:abstractNum w:abstractNumId="14" w15:restartNumberingAfterBreak="0">
    <w:nsid w:val="36092ADE"/>
    <w:multiLevelType w:val="hybridMultilevel"/>
    <w:tmpl w:val="92E4B1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36D40D5"/>
    <w:multiLevelType w:val="hybridMultilevel"/>
    <w:tmpl w:val="EB6C16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37214E7"/>
    <w:multiLevelType w:val="multilevel"/>
    <w:tmpl w:val="25AC8C0A"/>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b w:val="0"/>
        <w:color w:val="auto"/>
        <w:sz w:val="20"/>
        <w:szCs w:val="20"/>
      </w:rPr>
    </w:lvl>
    <w:lvl w:ilvl="2">
      <w:start w:val="1"/>
      <w:numFmt w:val="decimal"/>
      <w:lvlText w:val="%1.%2.%3"/>
      <w:lvlJc w:val="left"/>
      <w:pPr>
        <w:tabs>
          <w:tab w:val="num" w:pos="1430"/>
        </w:tabs>
        <w:ind w:left="1430" w:hanging="720"/>
      </w:pPr>
      <w:rPr>
        <w:rFonts w:hint="default"/>
        <w:b w:val="0"/>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294"/>
        </w:tabs>
        <w:ind w:left="1294" w:hanging="1152"/>
      </w:pPr>
      <w:rPr>
        <w:rFonts w:hint="default"/>
      </w:rPr>
    </w:lvl>
    <w:lvl w:ilvl="6">
      <w:start w:val="1"/>
      <w:numFmt w:val="decimal"/>
      <w:lvlText w:val="%1.%2.%3.%4.%5.%6.%7"/>
      <w:lvlJc w:val="left"/>
      <w:pPr>
        <w:tabs>
          <w:tab w:val="num" w:pos="1296"/>
        </w:tabs>
        <w:ind w:left="1296" w:hanging="1296"/>
      </w:pPr>
      <w:rPr>
        <w:rFonts w:hint="default"/>
        <w:i w:val="0"/>
        <w:iCs w:val="0"/>
        <w:caps w:val="0"/>
        <w:smallCaps w:val="0"/>
        <w:strike w:val="0"/>
        <w:dstrike w:val="0"/>
        <w:vanish w:val="0"/>
        <w:color w:val="000000"/>
        <w:spacing w:val="0"/>
        <w:position w:val="0"/>
        <w:u w:val="none"/>
        <w:vertAlign w:val="baseline"/>
        <w:em w:val="none"/>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55597355"/>
    <w:multiLevelType w:val="hybridMultilevel"/>
    <w:tmpl w:val="1D3269CE"/>
    <w:lvl w:ilvl="0" w:tplc="213C4DD6">
      <w:start w:val="1"/>
      <w:numFmt w:val="lowerLetter"/>
      <w:pStyle w:val="Style3"/>
      <w:lvlText w:val="(%1)."/>
      <w:lvlJc w:val="right"/>
      <w:pPr>
        <w:ind w:left="1800" w:hanging="360"/>
      </w:pPr>
      <w:rPr>
        <w:rFonts w:hint="default"/>
      </w:rPr>
    </w:lvl>
    <w:lvl w:ilvl="1" w:tplc="8398FE3C">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8" w15:restartNumberingAfterBreak="0">
    <w:nsid w:val="5D0A1EC9"/>
    <w:multiLevelType w:val="hybridMultilevel"/>
    <w:tmpl w:val="496AE1C0"/>
    <w:lvl w:ilvl="0" w:tplc="0C090005">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9" w15:restartNumberingAfterBreak="0">
    <w:nsid w:val="627A3FDC"/>
    <w:multiLevelType w:val="multilevel"/>
    <w:tmpl w:val="5F549734"/>
    <w:lvl w:ilvl="0">
      <w:start w:val="1"/>
      <w:numFmt w:val="decimal"/>
      <w:pStyle w:val="Heading1"/>
      <w:lvlText w:val="%1"/>
      <w:lvlJc w:val="left"/>
      <w:pPr>
        <w:ind w:left="432" w:hanging="432"/>
      </w:pPr>
      <w:rPr>
        <w:rFonts w:hint="default"/>
        <w:b/>
        <w:bCs w:val="0"/>
        <w:i w:val="0"/>
        <w:iCs w:val="0"/>
        <w:caps w:val="0"/>
        <w:smallCaps w:val="0"/>
        <w:strike w:val="0"/>
        <w:dstrike w:val="0"/>
        <w:noProof w:val="0"/>
        <w:vanish w:val="0"/>
        <w:color w:val="003087"/>
        <w:spacing w:val="0"/>
        <w:kern w:val="0"/>
        <w:position w:val="0"/>
        <w:u w:val="none"/>
        <w:effect w:val="none"/>
        <w:vertAlign w:val="baseline"/>
        <w:em w:val="none"/>
        <w:specVanish w:val="0"/>
      </w:rPr>
    </w:lvl>
    <w:lvl w:ilvl="1">
      <w:start w:val="1"/>
      <w:numFmt w:val="decimal"/>
      <w:pStyle w:val="Heading2"/>
      <w:lvlText w:val="%1.%2"/>
      <w:lvlJc w:val="left"/>
      <w:pPr>
        <w:ind w:left="576" w:hanging="576"/>
      </w:pPr>
      <w:rPr>
        <w:b/>
        <w:bCs w:val="0"/>
        <w:i w:val="0"/>
        <w:iCs w:val="0"/>
        <w:caps w:val="0"/>
        <w:smallCaps w:val="0"/>
        <w:strike w:val="0"/>
        <w:dstrike w:val="0"/>
        <w:noProof w:val="0"/>
        <w:vanish w:val="0"/>
        <w:color w:val="003087"/>
        <w:spacing w:val="0"/>
        <w:kern w:val="0"/>
        <w:position w:val="0"/>
        <w:u w:val="none"/>
        <w:effect w:val="none"/>
        <w:vertAlign w:val="baseline"/>
        <w:em w:val="none"/>
        <w:specVanish w:val="0"/>
      </w:rPr>
    </w:lvl>
    <w:lvl w:ilvl="2">
      <w:start w:val="1"/>
      <w:numFmt w:val="decimal"/>
      <w:pStyle w:val="Heading3"/>
      <w:lvlText w:val="%1.%2.%3"/>
      <w:lvlJc w:val="left"/>
      <w:pPr>
        <w:ind w:left="720" w:hanging="720"/>
      </w:pPr>
      <w:rPr>
        <w:rFonts w:hint="default"/>
      </w:rPr>
    </w:lvl>
    <w:lvl w:ilvl="3">
      <w:start w:val="1"/>
      <w:numFmt w:val="upperLetter"/>
      <w:pStyle w:val="Heading4"/>
      <w:lvlText w:val="(%4)."/>
      <w:lvlJc w:val="left"/>
      <w:pPr>
        <w:ind w:left="864" w:hanging="864"/>
      </w:pPr>
      <w:rPr>
        <w:rFonts w:hint="default"/>
        <w:b w:val="0"/>
        <w:strike w:val="0"/>
      </w:rPr>
    </w:lvl>
    <w:lvl w:ilvl="4">
      <w:start w:val="1"/>
      <w:numFmt w:val="decimal"/>
      <w:pStyle w:val="Heading5"/>
      <w:lvlText w:val="(%5)."/>
      <w:lvlJc w:val="left"/>
      <w:pPr>
        <w:ind w:left="5261" w:hanging="1008"/>
      </w:pPr>
      <w:rPr>
        <w:rFonts w:hint="default"/>
        <w:strike w:val="0"/>
      </w:rPr>
    </w:lvl>
    <w:lvl w:ilvl="5">
      <w:start w:val="1"/>
      <w:numFmt w:val="lowerLetter"/>
      <w:pStyle w:val="Heading6"/>
      <w:lvlText w:val="(%6)."/>
      <w:lvlJc w:val="right"/>
      <w:pPr>
        <w:ind w:left="1152" w:hanging="1152"/>
      </w:pPr>
      <w:rPr>
        <w:rFonts w:hint="default"/>
      </w:rPr>
    </w:lvl>
    <w:lvl w:ilvl="6">
      <w:start w:val="1"/>
      <w:numFmt w:val="lowerRoman"/>
      <w:pStyle w:val="Heading7"/>
      <w:lvlText w:val="(%7)."/>
      <w:lvlJc w:val="righ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0" w15:restartNumberingAfterBreak="0">
    <w:nsid w:val="70611463"/>
    <w:multiLevelType w:val="hybridMultilevel"/>
    <w:tmpl w:val="43AA4F9C"/>
    <w:lvl w:ilvl="0" w:tplc="5B58ACDE">
      <w:start w:val="1"/>
      <w:numFmt w:val="lowerRoman"/>
      <w:pStyle w:val="Style4"/>
      <w:lvlText w:val="%1."/>
      <w:lvlJc w:val="right"/>
      <w:pPr>
        <w:ind w:left="2880" w:hanging="360"/>
      </w:pPr>
    </w:lvl>
    <w:lvl w:ilvl="1" w:tplc="0C090019" w:tentative="1">
      <w:start w:val="1"/>
      <w:numFmt w:val="lowerLetter"/>
      <w:lvlText w:val="%2."/>
      <w:lvlJc w:val="left"/>
      <w:pPr>
        <w:ind w:left="3600" w:hanging="360"/>
      </w:pPr>
    </w:lvl>
    <w:lvl w:ilvl="2" w:tplc="0C09001B" w:tentative="1">
      <w:start w:val="1"/>
      <w:numFmt w:val="lowerRoman"/>
      <w:lvlText w:val="%3."/>
      <w:lvlJc w:val="right"/>
      <w:pPr>
        <w:ind w:left="4320" w:hanging="180"/>
      </w:pPr>
    </w:lvl>
    <w:lvl w:ilvl="3" w:tplc="0C09000F" w:tentative="1">
      <w:start w:val="1"/>
      <w:numFmt w:val="decimal"/>
      <w:lvlText w:val="%4."/>
      <w:lvlJc w:val="left"/>
      <w:pPr>
        <w:ind w:left="5040" w:hanging="360"/>
      </w:pPr>
    </w:lvl>
    <w:lvl w:ilvl="4" w:tplc="0C090019" w:tentative="1">
      <w:start w:val="1"/>
      <w:numFmt w:val="lowerLetter"/>
      <w:lvlText w:val="%5."/>
      <w:lvlJc w:val="left"/>
      <w:pPr>
        <w:ind w:left="5760" w:hanging="360"/>
      </w:pPr>
    </w:lvl>
    <w:lvl w:ilvl="5" w:tplc="0C09001B" w:tentative="1">
      <w:start w:val="1"/>
      <w:numFmt w:val="lowerRoman"/>
      <w:lvlText w:val="%6."/>
      <w:lvlJc w:val="right"/>
      <w:pPr>
        <w:ind w:left="6480" w:hanging="180"/>
      </w:pPr>
    </w:lvl>
    <w:lvl w:ilvl="6" w:tplc="0C09000F" w:tentative="1">
      <w:start w:val="1"/>
      <w:numFmt w:val="decimal"/>
      <w:lvlText w:val="%7."/>
      <w:lvlJc w:val="left"/>
      <w:pPr>
        <w:ind w:left="7200" w:hanging="360"/>
      </w:pPr>
    </w:lvl>
    <w:lvl w:ilvl="7" w:tplc="0C090019" w:tentative="1">
      <w:start w:val="1"/>
      <w:numFmt w:val="lowerLetter"/>
      <w:lvlText w:val="%8."/>
      <w:lvlJc w:val="left"/>
      <w:pPr>
        <w:ind w:left="7920" w:hanging="360"/>
      </w:pPr>
    </w:lvl>
    <w:lvl w:ilvl="8" w:tplc="0C09001B" w:tentative="1">
      <w:start w:val="1"/>
      <w:numFmt w:val="lowerRoman"/>
      <w:lvlText w:val="%9."/>
      <w:lvlJc w:val="right"/>
      <w:pPr>
        <w:ind w:left="8640" w:hanging="180"/>
      </w:pPr>
    </w:lvl>
  </w:abstractNum>
  <w:num w:numId="1" w16cid:durableId="259681095">
    <w:abstractNumId w:val="19"/>
  </w:num>
  <w:num w:numId="2" w16cid:durableId="109714200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72771925">
    <w:abstractNumId w:val="13"/>
  </w:num>
  <w:num w:numId="4" w16cid:durableId="212817077">
    <w:abstractNumId w:val="17"/>
  </w:num>
  <w:num w:numId="5" w16cid:durableId="1961104998">
    <w:abstractNumId w:val="10"/>
  </w:num>
  <w:num w:numId="6" w16cid:durableId="208761143">
    <w:abstractNumId w:val="20"/>
  </w:num>
  <w:num w:numId="7" w16cid:durableId="224336533">
    <w:abstractNumId w:val="13"/>
  </w:num>
  <w:num w:numId="8" w16cid:durableId="2057317334">
    <w:abstractNumId w:val="12"/>
  </w:num>
  <w:num w:numId="9" w16cid:durableId="1603146218">
    <w:abstractNumId w:val="19"/>
  </w:num>
  <w:num w:numId="10" w16cid:durableId="1854765508">
    <w:abstractNumId w:val="19"/>
  </w:num>
  <w:num w:numId="11" w16cid:durableId="665059671">
    <w:abstractNumId w:val="19"/>
  </w:num>
  <w:num w:numId="12" w16cid:durableId="81920078">
    <w:abstractNumId w:val="19"/>
  </w:num>
  <w:num w:numId="13" w16cid:durableId="1396047885">
    <w:abstractNumId w:val="19"/>
  </w:num>
  <w:num w:numId="14" w16cid:durableId="697706046">
    <w:abstractNumId w:val="19"/>
  </w:num>
  <w:num w:numId="15" w16cid:durableId="1547449568">
    <w:abstractNumId w:val="19"/>
  </w:num>
  <w:num w:numId="16" w16cid:durableId="962076188">
    <w:abstractNumId w:val="19"/>
  </w:num>
  <w:num w:numId="17" w16cid:durableId="1315062807">
    <w:abstractNumId w:val="19"/>
  </w:num>
  <w:num w:numId="18" w16cid:durableId="1852211161">
    <w:abstractNumId w:val="19"/>
  </w:num>
  <w:num w:numId="19" w16cid:durableId="36900745">
    <w:abstractNumId w:val="19"/>
  </w:num>
  <w:num w:numId="20" w16cid:durableId="666713745">
    <w:abstractNumId w:val="9"/>
  </w:num>
  <w:num w:numId="21" w16cid:durableId="346447431">
    <w:abstractNumId w:val="7"/>
  </w:num>
  <w:num w:numId="22" w16cid:durableId="521170834">
    <w:abstractNumId w:val="6"/>
  </w:num>
  <w:num w:numId="23" w16cid:durableId="249120624">
    <w:abstractNumId w:val="5"/>
  </w:num>
  <w:num w:numId="24" w16cid:durableId="1509833610">
    <w:abstractNumId w:val="4"/>
  </w:num>
  <w:num w:numId="25" w16cid:durableId="1668172191">
    <w:abstractNumId w:val="8"/>
  </w:num>
  <w:num w:numId="26" w16cid:durableId="639726687">
    <w:abstractNumId w:val="3"/>
  </w:num>
  <w:num w:numId="27" w16cid:durableId="924606309">
    <w:abstractNumId w:val="2"/>
  </w:num>
  <w:num w:numId="28" w16cid:durableId="1647778173">
    <w:abstractNumId w:val="1"/>
  </w:num>
  <w:num w:numId="29" w16cid:durableId="269168503">
    <w:abstractNumId w:val="0"/>
  </w:num>
  <w:num w:numId="30" w16cid:durableId="809983816">
    <w:abstractNumId w:val="19"/>
    <w:lvlOverride w:ilvl="0">
      <w:startOverride w:val="3"/>
    </w:lvlOverride>
    <w:lvlOverride w:ilvl="1">
      <w:startOverride w:val="1"/>
    </w:lvlOverride>
  </w:num>
  <w:num w:numId="31" w16cid:durableId="449323597">
    <w:abstractNumId w:val="19"/>
    <w:lvlOverride w:ilvl="0">
      <w:startOverride w:val="6"/>
    </w:lvlOverride>
    <w:lvlOverride w:ilvl="1">
      <w:startOverride w:val="1"/>
    </w:lvlOverride>
  </w:num>
  <w:num w:numId="32" w16cid:durableId="781608423">
    <w:abstractNumId w:val="18"/>
  </w:num>
  <w:num w:numId="33" w16cid:durableId="166405916">
    <w:abstractNumId w:val="16"/>
  </w:num>
  <w:num w:numId="34" w16cid:durableId="427042344">
    <w:abstractNumId w:val="11"/>
  </w:num>
  <w:num w:numId="35" w16cid:durableId="425270254">
    <w:abstractNumId w:val="15"/>
  </w:num>
  <w:num w:numId="36" w16cid:durableId="883447134">
    <w:abstractNumId w:val="14"/>
  </w:num>
  <w:num w:numId="37" w16cid:durableId="2088189712">
    <w:abstractNumId w:val="1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hideSpellingErrors/>
  <w:hideGrammaticalErrors/>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D06"/>
    <w:rsid w:val="0002191E"/>
    <w:rsid w:val="00023D71"/>
    <w:rsid w:val="000246D1"/>
    <w:rsid w:val="00025F4B"/>
    <w:rsid w:val="00030751"/>
    <w:rsid w:val="00031995"/>
    <w:rsid w:val="0003549A"/>
    <w:rsid w:val="00052901"/>
    <w:rsid w:val="00054C7B"/>
    <w:rsid w:val="00077B0F"/>
    <w:rsid w:val="00095890"/>
    <w:rsid w:val="000A2675"/>
    <w:rsid w:val="000A3F57"/>
    <w:rsid w:val="000B092A"/>
    <w:rsid w:val="000C1D7E"/>
    <w:rsid w:val="000E18DE"/>
    <w:rsid w:val="000E4142"/>
    <w:rsid w:val="000E591A"/>
    <w:rsid w:val="000E7CD6"/>
    <w:rsid w:val="000F48C1"/>
    <w:rsid w:val="000F7C41"/>
    <w:rsid w:val="0010647D"/>
    <w:rsid w:val="00111E3C"/>
    <w:rsid w:val="00130ACE"/>
    <w:rsid w:val="0013304F"/>
    <w:rsid w:val="0013433A"/>
    <w:rsid w:val="00134A1B"/>
    <w:rsid w:val="00135785"/>
    <w:rsid w:val="00137A25"/>
    <w:rsid w:val="0014364C"/>
    <w:rsid w:val="00155C10"/>
    <w:rsid w:val="001918E7"/>
    <w:rsid w:val="001A1E8D"/>
    <w:rsid w:val="001D334A"/>
    <w:rsid w:val="001D48E2"/>
    <w:rsid w:val="001D7231"/>
    <w:rsid w:val="00203261"/>
    <w:rsid w:val="002105D7"/>
    <w:rsid w:val="0022468F"/>
    <w:rsid w:val="00230458"/>
    <w:rsid w:val="002468C4"/>
    <w:rsid w:val="00251521"/>
    <w:rsid w:val="00252D1B"/>
    <w:rsid w:val="00262565"/>
    <w:rsid w:val="002675DE"/>
    <w:rsid w:val="00273FFF"/>
    <w:rsid w:val="002775C5"/>
    <w:rsid w:val="00284A53"/>
    <w:rsid w:val="00284C59"/>
    <w:rsid w:val="0028628D"/>
    <w:rsid w:val="0028739C"/>
    <w:rsid w:val="002A3D06"/>
    <w:rsid w:val="002A3F78"/>
    <w:rsid w:val="002C40EC"/>
    <w:rsid w:val="002C4AD7"/>
    <w:rsid w:val="002C7DEB"/>
    <w:rsid w:val="002F0E52"/>
    <w:rsid w:val="002F44EC"/>
    <w:rsid w:val="002F521F"/>
    <w:rsid w:val="002F61CA"/>
    <w:rsid w:val="00312610"/>
    <w:rsid w:val="00331322"/>
    <w:rsid w:val="0033370C"/>
    <w:rsid w:val="0033390D"/>
    <w:rsid w:val="0034568A"/>
    <w:rsid w:val="003550A9"/>
    <w:rsid w:val="00357146"/>
    <w:rsid w:val="0037323C"/>
    <w:rsid w:val="00380358"/>
    <w:rsid w:val="003922AB"/>
    <w:rsid w:val="00396674"/>
    <w:rsid w:val="003B0519"/>
    <w:rsid w:val="003B17E0"/>
    <w:rsid w:val="003B5C27"/>
    <w:rsid w:val="003C5800"/>
    <w:rsid w:val="003D5653"/>
    <w:rsid w:val="003F437E"/>
    <w:rsid w:val="003F7F46"/>
    <w:rsid w:val="00401732"/>
    <w:rsid w:val="0040732E"/>
    <w:rsid w:val="00413131"/>
    <w:rsid w:val="00414DD8"/>
    <w:rsid w:val="00423EB1"/>
    <w:rsid w:val="004247D3"/>
    <w:rsid w:val="00424B04"/>
    <w:rsid w:val="004304D8"/>
    <w:rsid w:val="0043127C"/>
    <w:rsid w:val="004524F8"/>
    <w:rsid w:val="00452ED6"/>
    <w:rsid w:val="00475386"/>
    <w:rsid w:val="00485739"/>
    <w:rsid w:val="00494E0A"/>
    <w:rsid w:val="004A3E6E"/>
    <w:rsid w:val="004A5E19"/>
    <w:rsid w:val="004E3F1A"/>
    <w:rsid w:val="004E4AAE"/>
    <w:rsid w:val="004F145F"/>
    <w:rsid w:val="00520948"/>
    <w:rsid w:val="00533C77"/>
    <w:rsid w:val="00537BD4"/>
    <w:rsid w:val="00543BB2"/>
    <w:rsid w:val="00552A1E"/>
    <w:rsid w:val="00577460"/>
    <w:rsid w:val="00586527"/>
    <w:rsid w:val="005B0A0D"/>
    <w:rsid w:val="005B4968"/>
    <w:rsid w:val="005C24A3"/>
    <w:rsid w:val="005C5491"/>
    <w:rsid w:val="005C6CF3"/>
    <w:rsid w:val="005D0C8F"/>
    <w:rsid w:val="005E16DD"/>
    <w:rsid w:val="005E762E"/>
    <w:rsid w:val="005F0883"/>
    <w:rsid w:val="005F370E"/>
    <w:rsid w:val="005F6CD9"/>
    <w:rsid w:val="006040AE"/>
    <w:rsid w:val="006063B8"/>
    <w:rsid w:val="0061235D"/>
    <w:rsid w:val="006430CA"/>
    <w:rsid w:val="00653E26"/>
    <w:rsid w:val="0067491D"/>
    <w:rsid w:val="00676253"/>
    <w:rsid w:val="0068607F"/>
    <w:rsid w:val="006B668D"/>
    <w:rsid w:val="006C71F3"/>
    <w:rsid w:val="006C73F1"/>
    <w:rsid w:val="006E177C"/>
    <w:rsid w:val="00721B5D"/>
    <w:rsid w:val="00722C84"/>
    <w:rsid w:val="007250A9"/>
    <w:rsid w:val="0072661B"/>
    <w:rsid w:val="0073193B"/>
    <w:rsid w:val="007365AE"/>
    <w:rsid w:val="00740675"/>
    <w:rsid w:val="007547E8"/>
    <w:rsid w:val="0075539E"/>
    <w:rsid w:val="007725F6"/>
    <w:rsid w:val="00772F35"/>
    <w:rsid w:val="00783E22"/>
    <w:rsid w:val="007A1E3B"/>
    <w:rsid w:val="007B092C"/>
    <w:rsid w:val="007B4EF8"/>
    <w:rsid w:val="007B51A0"/>
    <w:rsid w:val="007B53C4"/>
    <w:rsid w:val="007B5421"/>
    <w:rsid w:val="007C1E95"/>
    <w:rsid w:val="007D7045"/>
    <w:rsid w:val="007E3C68"/>
    <w:rsid w:val="007F0BE1"/>
    <w:rsid w:val="0081781F"/>
    <w:rsid w:val="008407CB"/>
    <w:rsid w:val="0084286B"/>
    <w:rsid w:val="00842A9F"/>
    <w:rsid w:val="008528FA"/>
    <w:rsid w:val="008552C5"/>
    <w:rsid w:val="008604AC"/>
    <w:rsid w:val="008645AB"/>
    <w:rsid w:val="00865776"/>
    <w:rsid w:val="00870074"/>
    <w:rsid w:val="008752B2"/>
    <w:rsid w:val="008874C2"/>
    <w:rsid w:val="00892CE3"/>
    <w:rsid w:val="008944AF"/>
    <w:rsid w:val="008A1857"/>
    <w:rsid w:val="008B027D"/>
    <w:rsid w:val="008B1CB5"/>
    <w:rsid w:val="008B479E"/>
    <w:rsid w:val="008D2E9F"/>
    <w:rsid w:val="008D6041"/>
    <w:rsid w:val="008D615A"/>
    <w:rsid w:val="008E0A74"/>
    <w:rsid w:val="0090436A"/>
    <w:rsid w:val="009060CF"/>
    <w:rsid w:val="00912659"/>
    <w:rsid w:val="009403FD"/>
    <w:rsid w:val="00951C12"/>
    <w:rsid w:val="009546AB"/>
    <w:rsid w:val="009711A4"/>
    <w:rsid w:val="00972BA7"/>
    <w:rsid w:val="009855F8"/>
    <w:rsid w:val="009B0AD1"/>
    <w:rsid w:val="009B2D96"/>
    <w:rsid w:val="009B37C9"/>
    <w:rsid w:val="009B6052"/>
    <w:rsid w:val="009C08F0"/>
    <w:rsid w:val="009D134E"/>
    <w:rsid w:val="009D56CC"/>
    <w:rsid w:val="009E6152"/>
    <w:rsid w:val="009E6504"/>
    <w:rsid w:val="009E7C16"/>
    <w:rsid w:val="00A018CF"/>
    <w:rsid w:val="00A23DD7"/>
    <w:rsid w:val="00A4277D"/>
    <w:rsid w:val="00A4298D"/>
    <w:rsid w:val="00A50010"/>
    <w:rsid w:val="00A56B2A"/>
    <w:rsid w:val="00A75FDE"/>
    <w:rsid w:val="00A86856"/>
    <w:rsid w:val="00A97E39"/>
    <w:rsid w:val="00AA19C6"/>
    <w:rsid w:val="00AA1A4D"/>
    <w:rsid w:val="00AA7139"/>
    <w:rsid w:val="00AB0E14"/>
    <w:rsid w:val="00AB2096"/>
    <w:rsid w:val="00AB5098"/>
    <w:rsid w:val="00AC2F1B"/>
    <w:rsid w:val="00AE2824"/>
    <w:rsid w:val="00AE45EA"/>
    <w:rsid w:val="00AE61B4"/>
    <w:rsid w:val="00AF3AA7"/>
    <w:rsid w:val="00AF4E4E"/>
    <w:rsid w:val="00B0788F"/>
    <w:rsid w:val="00B169A4"/>
    <w:rsid w:val="00B30F45"/>
    <w:rsid w:val="00B31A0F"/>
    <w:rsid w:val="00B32410"/>
    <w:rsid w:val="00B34616"/>
    <w:rsid w:val="00B36DC5"/>
    <w:rsid w:val="00B43D7F"/>
    <w:rsid w:val="00B57D2C"/>
    <w:rsid w:val="00B62285"/>
    <w:rsid w:val="00B636F8"/>
    <w:rsid w:val="00B70FB2"/>
    <w:rsid w:val="00B87728"/>
    <w:rsid w:val="00BB0D1A"/>
    <w:rsid w:val="00BC5627"/>
    <w:rsid w:val="00BD56AF"/>
    <w:rsid w:val="00BD6F93"/>
    <w:rsid w:val="00BF50B7"/>
    <w:rsid w:val="00C0124B"/>
    <w:rsid w:val="00C04D6B"/>
    <w:rsid w:val="00C146FB"/>
    <w:rsid w:val="00C1749B"/>
    <w:rsid w:val="00C24D01"/>
    <w:rsid w:val="00C2729D"/>
    <w:rsid w:val="00C3525A"/>
    <w:rsid w:val="00C504E8"/>
    <w:rsid w:val="00C55ED0"/>
    <w:rsid w:val="00C742A1"/>
    <w:rsid w:val="00C76C5E"/>
    <w:rsid w:val="00C811D2"/>
    <w:rsid w:val="00C85C79"/>
    <w:rsid w:val="00CD3C66"/>
    <w:rsid w:val="00CF51AD"/>
    <w:rsid w:val="00D02E95"/>
    <w:rsid w:val="00D23014"/>
    <w:rsid w:val="00D254D5"/>
    <w:rsid w:val="00D421B6"/>
    <w:rsid w:val="00D52AFF"/>
    <w:rsid w:val="00D60711"/>
    <w:rsid w:val="00D608E3"/>
    <w:rsid w:val="00D630D9"/>
    <w:rsid w:val="00D70DA7"/>
    <w:rsid w:val="00D715D7"/>
    <w:rsid w:val="00D86E6A"/>
    <w:rsid w:val="00D9147A"/>
    <w:rsid w:val="00D92280"/>
    <w:rsid w:val="00D952E5"/>
    <w:rsid w:val="00DA3AB9"/>
    <w:rsid w:val="00DB1F8C"/>
    <w:rsid w:val="00DB3520"/>
    <w:rsid w:val="00DC13B6"/>
    <w:rsid w:val="00DD383F"/>
    <w:rsid w:val="00DD3F49"/>
    <w:rsid w:val="00DD51D1"/>
    <w:rsid w:val="00DE4023"/>
    <w:rsid w:val="00E00A62"/>
    <w:rsid w:val="00E0424A"/>
    <w:rsid w:val="00E05796"/>
    <w:rsid w:val="00E0700F"/>
    <w:rsid w:val="00E302DE"/>
    <w:rsid w:val="00E5400D"/>
    <w:rsid w:val="00E55893"/>
    <w:rsid w:val="00E57DD7"/>
    <w:rsid w:val="00E67DE6"/>
    <w:rsid w:val="00E70D7E"/>
    <w:rsid w:val="00E72328"/>
    <w:rsid w:val="00E92976"/>
    <w:rsid w:val="00E92F59"/>
    <w:rsid w:val="00E93BEC"/>
    <w:rsid w:val="00EA17C7"/>
    <w:rsid w:val="00EA1AFD"/>
    <w:rsid w:val="00EB0945"/>
    <w:rsid w:val="00EB5CD5"/>
    <w:rsid w:val="00EC2A93"/>
    <w:rsid w:val="00EC32AB"/>
    <w:rsid w:val="00EF3E46"/>
    <w:rsid w:val="00F10CAC"/>
    <w:rsid w:val="00F110BF"/>
    <w:rsid w:val="00F125D3"/>
    <w:rsid w:val="00F1452E"/>
    <w:rsid w:val="00F264E8"/>
    <w:rsid w:val="00F33C8B"/>
    <w:rsid w:val="00F34DB9"/>
    <w:rsid w:val="00F434A8"/>
    <w:rsid w:val="00F4427E"/>
    <w:rsid w:val="00F650A3"/>
    <w:rsid w:val="00F6578A"/>
    <w:rsid w:val="00F71457"/>
    <w:rsid w:val="00F77716"/>
    <w:rsid w:val="00F831D2"/>
    <w:rsid w:val="00F84A4A"/>
    <w:rsid w:val="00F856DA"/>
    <w:rsid w:val="00FA57FB"/>
    <w:rsid w:val="00FB57A0"/>
    <w:rsid w:val="00FC4989"/>
    <w:rsid w:val="00FC562A"/>
    <w:rsid w:val="00FD3AB6"/>
    <w:rsid w:val="00FD59FF"/>
    <w:rsid w:val="00FE4B92"/>
    <w:rsid w:val="00FE5944"/>
    <w:rsid w:val="00FF12B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9A68C2"/>
  <w15:chartTrackingRefBased/>
  <w15:docId w15:val="{32C44722-D8F2-40C6-920E-48711B81C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9"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
    <w:qFormat/>
    <w:rsid w:val="008D2E9F"/>
    <w:pPr>
      <w:spacing w:after="200" w:line="276" w:lineRule="auto"/>
    </w:pPr>
    <w:rPr>
      <w:rFonts w:ascii="Century Gothic" w:hAnsi="Century Gothic"/>
      <w:color w:val="404040"/>
      <w:sz w:val="22"/>
      <w:szCs w:val="22"/>
      <w:lang w:eastAsia="en-US"/>
    </w:rPr>
  </w:style>
  <w:style w:type="paragraph" w:styleId="Heading1">
    <w:name w:val="heading 1"/>
    <w:basedOn w:val="Normal"/>
    <w:next w:val="Normal"/>
    <w:link w:val="Heading1Char"/>
    <w:uiPriority w:val="9"/>
    <w:qFormat/>
    <w:rsid w:val="001918E7"/>
    <w:pPr>
      <w:keepNext/>
      <w:keepLines/>
      <w:numPr>
        <w:numId w:val="19"/>
      </w:numPr>
      <w:spacing w:before="240" w:after="0"/>
      <w:ind w:left="851" w:hanging="851"/>
      <w:outlineLvl w:val="0"/>
    </w:pPr>
    <w:rPr>
      <w:rFonts w:eastAsia="Times New Roman"/>
      <w:b/>
      <w:color w:val="003087"/>
      <w:sz w:val="32"/>
      <w:szCs w:val="32"/>
    </w:rPr>
  </w:style>
  <w:style w:type="paragraph" w:styleId="Heading2">
    <w:name w:val="heading 2"/>
    <w:basedOn w:val="Heading1"/>
    <w:next w:val="Normal"/>
    <w:link w:val="Heading2Char"/>
    <w:uiPriority w:val="9"/>
    <w:unhideWhenUsed/>
    <w:qFormat/>
    <w:rsid w:val="001918E7"/>
    <w:pPr>
      <w:numPr>
        <w:ilvl w:val="1"/>
      </w:numPr>
      <w:ind w:left="851" w:hanging="851"/>
      <w:outlineLvl w:val="1"/>
    </w:pPr>
    <w:rPr>
      <w:sz w:val="28"/>
      <w:lang w:eastAsia="en-AU"/>
    </w:rPr>
  </w:style>
  <w:style w:type="paragraph" w:styleId="Heading3">
    <w:name w:val="heading 3"/>
    <w:basedOn w:val="Heading2"/>
    <w:next w:val="Normal"/>
    <w:link w:val="Heading3Char"/>
    <w:uiPriority w:val="9"/>
    <w:unhideWhenUsed/>
    <w:qFormat/>
    <w:rsid w:val="00F4427E"/>
    <w:pPr>
      <w:numPr>
        <w:ilvl w:val="2"/>
      </w:numPr>
      <w:outlineLvl w:val="2"/>
    </w:pPr>
    <w:rPr>
      <w:sz w:val="24"/>
    </w:rPr>
  </w:style>
  <w:style w:type="paragraph" w:styleId="Heading4">
    <w:name w:val="heading 4"/>
    <w:basedOn w:val="Heading3"/>
    <w:next w:val="Normal"/>
    <w:link w:val="Heading4Char"/>
    <w:unhideWhenUsed/>
    <w:qFormat/>
    <w:rsid w:val="005B4968"/>
    <w:pPr>
      <w:keepNext w:val="0"/>
      <w:keepLines w:val="0"/>
      <w:widowControl w:val="0"/>
      <w:numPr>
        <w:ilvl w:val="3"/>
        <w:numId w:val="1"/>
      </w:numPr>
      <w:outlineLvl w:val="3"/>
    </w:pPr>
    <w:rPr>
      <w:b w:val="0"/>
      <w:color w:val="404040"/>
      <w:sz w:val="22"/>
      <w:szCs w:val="22"/>
    </w:rPr>
  </w:style>
  <w:style w:type="paragraph" w:styleId="Heading5">
    <w:name w:val="heading 5"/>
    <w:basedOn w:val="Normal"/>
    <w:next w:val="Normal"/>
    <w:link w:val="Heading5Char"/>
    <w:autoRedefine/>
    <w:uiPriority w:val="9"/>
    <w:unhideWhenUsed/>
    <w:qFormat/>
    <w:rsid w:val="005B4968"/>
    <w:pPr>
      <w:widowControl w:val="0"/>
      <w:numPr>
        <w:ilvl w:val="4"/>
        <w:numId w:val="1"/>
      </w:numPr>
      <w:spacing w:before="40" w:after="0"/>
      <w:ind w:left="1418" w:hanging="709"/>
      <w:outlineLvl w:val="4"/>
    </w:pPr>
    <w:rPr>
      <w:rFonts w:eastAsia="Times New Roman"/>
      <w:lang w:eastAsia="en-AU"/>
    </w:rPr>
  </w:style>
  <w:style w:type="paragraph" w:styleId="Heading6">
    <w:name w:val="heading 6"/>
    <w:basedOn w:val="Normal"/>
    <w:next w:val="Normal"/>
    <w:link w:val="Heading6Char"/>
    <w:uiPriority w:val="9"/>
    <w:unhideWhenUsed/>
    <w:qFormat/>
    <w:rsid w:val="007547E8"/>
    <w:pPr>
      <w:widowControl w:val="0"/>
      <w:numPr>
        <w:ilvl w:val="5"/>
        <w:numId w:val="19"/>
      </w:numPr>
      <w:spacing w:before="40" w:after="0"/>
      <w:ind w:left="2835" w:hanging="708"/>
      <w:outlineLvl w:val="5"/>
    </w:pPr>
    <w:rPr>
      <w:rFonts w:eastAsia="Times New Roman"/>
      <w:lang w:eastAsia="en-AU"/>
    </w:rPr>
  </w:style>
  <w:style w:type="paragraph" w:styleId="Heading7">
    <w:name w:val="heading 7"/>
    <w:basedOn w:val="Normal"/>
    <w:next w:val="Normal"/>
    <w:link w:val="Heading7Char"/>
    <w:uiPriority w:val="9"/>
    <w:unhideWhenUsed/>
    <w:qFormat/>
    <w:rsid w:val="007547E8"/>
    <w:pPr>
      <w:keepNext/>
      <w:keepLines/>
      <w:numPr>
        <w:ilvl w:val="6"/>
        <w:numId w:val="19"/>
      </w:numPr>
      <w:spacing w:before="40" w:after="0"/>
      <w:ind w:left="3969" w:hanging="870"/>
      <w:outlineLvl w:val="6"/>
    </w:pPr>
    <w:rPr>
      <w:rFonts w:eastAsia="Times New Roman"/>
      <w:iCs/>
    </w:rPr>
  </w:style>
  <w:style w:type="paragraph" w:styleId="Heading8">
    <w:name w:val="heading 8"/>
    <w:basedOn w:val="Normal"/>
    <w:next w:val="Normal"/>
    <w:link w:val="Heading8Char"/>
    <w:uiPriority w:val="9"/>
    <w:semiHidden/>
    <w:unhideWhenUsed/>
    <w:qFormat/>
    <w:rsid w:val="008D615A"/>
    <w:pPr>
      <w:keepNext/>
      <w:keepLines/>
      <w:numPr>
        <w:ilvl w:val="7"/>
        <w:numId w:val="19"/>
      </w:numPr>
      <w:spacing w:before="40" w:after="0"/>
      <w:outlineLvl w:val="7"/>
    </w:pPr>
    <w:rPr>
      <w:rFonts w:ascii="Calibri Light" w:eastAsia="Times New Roman" w:hAnsi="Calibri Light"/>
      <w:color w:val="000000"/>
      <w:sz w:val="21"/>
      <w:szCs w:val="21"/>
    </w:rPr>
  </w:style>
  <w:style w:type="paragraph" w:styleId="Heading9">
    <w:name w:val="heading 9"/>
    <w:basedOn w:val="Normal"/>
    <w:next w:val="Normal"/>
    <w:link w:val="Heading9Char"/>
    <w:uiPriority w:val="9"/>
    <w:semiHidden/>
    <w:unhideWhenUsed/>
    <w:qFormat/>
    <w:rsid w:val="00F4427E"/>
    <w:pPr>
      <w:keepNext/>
      <w:keepLines/>
      <w:numPr>
        <w:ilvl w:val="8"/>
        <w:numId w:val="11"/>
      </w:numPr>
      <w:spacing w:before="40" w:after="0"/>
      <w:outlineLvl w:val="8"/>
    </w:pPr>
    <w:rPr>
      <w:rFonts w:ascii="Calibri Light" w:eastAsia="Times New Roman" w:hAnsi="Calibri Light"/>
      <w:i/>
      <w:iCs/>
      <w:color w:val="000000"/>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1918E7"/>
    <w:rPr>
      <w:rFonts w:ascii="Century Gothic" w:eastAsia="Times New Roman" w:hAnsi="Century Gothic" w:cs="Times New Roman"/>
      <w:b/>
      <w:color w:val="003087"/>
      <w:sz w:val="32"/>
      <w:szCs w:val="32"/>
    </w:rPr>
  </w:style>
  <w:style w:type="paragraph" w:customStyle="1" w:styleId="Style1">
    <w:name w:val="Style 1"/>
    <w:basedOn w:val="BodyText"/>
    <w:link w:val="Style1Char"/>
    <w:rsid w:val="0028739C"/>
    <w:pPr>
      <w:spacing w:before="60" w:after="60"/>
      <w:ind w:left="0"/>
    </w:pPr>
    <w:rPr>
      <w:b/>
      <w:sz w:val="16"/>
      <w:lang w:val="en-US"/>
    </w:rPr>
  </w:style>
  <w:style w:type="paragraph" w:customStyle="1" w:styleId="Style3">
    <w:name w:val="Style 3"/>
    <w:basedOn w:val="Style1"/>
    <w:link w:val="Style3Char"/>
    <w:rsid w:val="0028739C"/>
    <w:pPr>
      <w:numPr>
        <w:numId w:val="4"/>
      </w:numPr>
    </w:pPr>
  </w:style>
  <w:style w:type="character" w:customStyle="1" w:styleId="Style1Char">
    <w:name w:val="Style 1 Char"/>
    <w:link w:val="Style1"/>
    <w:rsid w:val="0028739C"/>
    <w:rPr>
      <w:rFonts w:ascii="Century Gothic" w:hAnsi="Century Gothic" w:cs="Arial"/>
      <w:b/>
      <w:color w:val="404040"/>
      <w:sz w:val="16"/>
      <w:lang w:val="en-US"/>
    </w:rPr>
  </w:style>
  <w:style w:type="paragraph" w:customStyle="1" w:styleId="Style2">
    <w:name w:val="Style 2"/>
    <w:basedOn w:val="Style1"/>
    <w:link w:val="Style2Char"/>
    <w:rsid w:val="0028739C"/>
    <w:pPr>
      <w:numPr>
        <w:numId w:val="5"/>
      </w:numPr>
    </w:pPr>
  </w:style>
  <w:style w:type="character" w:customStyle="1" w:styleId="Style3Char">
    <w:name w:val="Style 3 Char"/>
    <w:link w:val="Style3"/>
    <w:rsid w:val="0028739C"/>
    <w:rPr>
      <w:rFonts w:ascii="Century Gothic" w:hAnsi="Century Gothic" w:cs="Arial"/>
      <w:b/>
      <w:color w:val="404040"/>
      <w:sz w:val="16"/>
      <w:lang w:val="en-US"/>
    </w:rPr>
  </w:style>
  <w:style w:type="paragraph" w:customStyle="1" w:styleId="Style4">
    <w:name w:val="Style4"/>
    <w:basedOn w:val="Style3"/>
    <w:link w:val="Style4Char"/>
    <w:rsid w:val="0028739C"/>
    <w:pPr>
      <w:numPr>
        <w:numId w:val="6"/>
      </w:numPr>
    </w:pPr>
  </w:style>
  <w:style w:type="character" w:customStyle="1" w:styleId="Style2Char">
    <w:name w:val="Style 2 Char"/>
    <w:link w:val="Style2"/>
    <w:rsid w:val="0028739C"/>
    <w:rPr>
      <w:rFonts w:ascii="Century Gothic" w:hAnsi="Century Gothic" w:cs="Arial"/>
      <w:b/>
      <w:color w:val="404040"/>
      <w:sz w:val="16"/>
      <w:lang w:val="en-US"/>
    </w:rPr>
  </w:style>
  <w:style w:type="character" w:customStyle="1" w:styleId="Heading3Char">
    <w:name w:val="Heading 3 Char"/>
    <w:link w:val="Heading3"/>
    <w:uiPriority w:val="4"/>
    <w:rsid w:val="00F4427E"/>
    <w:rPr>
      <w:rFonts w:ascii="UWA" w:eastAsia="Times New Roman" w:hAnsi="UWA" w:cs="Times New Roman"/>
      <w:color w:val="003087"/>
      <w:sz w:val="24"/>
      <w:szCs w:val="32"/>
      <w:lang w:eastAsia="en-AU"/>
    </w:rPr>
  </w:style>
  <w:style w:type="character" w:customStyle="1" w:styleId="Style4Char">
    <w:name w:val="Style4 Char"/>
    <w:link w:val="Style4"/>
    <w:rsid w:val="0028739C"/>
    <w:rPr>
      <w:rFonts w:ascii="Century Gothic" w:hAnsi="Century Gothic" w:cs="Arial"/>
      <w:b/>
      <w:color w:val="404040"/>
      <w:sz w:val="16"/>
      <w:lang w:val="en-US"/>
    </w:rPr>
  </w:style>
  <w:style w:type="character" w:customStyle="1" w:styleId="Heading2Char">
    <w:name w:val="Heading 2 Char"/>
    <w:link w:val="Heading2"/>
    <w:uiPriority w:val="3"/>
    <w:rsid w:val="001918E7"/>
    <w:rPr>
      <w:rFonts w:ascii="Century Gothic" w:eastAsia="Times New Roman" w:hAnsi="Century Gothic" w:cs="Times New Roman"/>
      <w:b/>
      <w:color w:val="003087"/>
      <w:sz w:val="28"/>
      <w:szCs w:val="32"/>
      <w:lang w:eastAsia="en-AU"/>
    </w:rPr>
  </w:style>
  <w:style w:type="character" w:customStyle="1" w:styleId="Heading4Char">
    <w:name w:val="Heading 4 Char"/>
    <w:link w:val="Heading4"/>
    <w:uiPriority w:val="9"/>
    <w:rsid w:val="005B4968"/>
    <w:rPr>
      <w:rFonts w:ascii="Century Gothic" w:eastAsia="Times New Roman" w:hAnsi="Century Gothic"/>
      <w:color w:val="404040"/>
      <w:sz w:val="22"/>
      <w:szCs w:val="22"/>
    </w:rPr>
  </w:style>
  <w:style w:type="character" w:customStyle="1" w:styleId="Heading5Char">
    <w:name w:val="Heading 5 Char"/>
    <w:link w:val="Heading5"/>
    <w:uiPriority w:val="9"/>
    <w:rsid w:val="005B4968"/>
    <w:rPr>
      <w:rFonts w:ascii="Century Gothic" w:eastAsia="Times New Roman" w:hAnsi="Century Gothic"/>
      <w:color w:val="404040"/>
      <w:sz w:val="22"/>
      <w:szCs w:val="22"/>
    </w:rPr>
  </w:style>
  <w:style w:type="character" w:customStyle="1" w:styleId="Heading6Char">
    <w:name w:val="Heading 6 Char"/>
    <w:link w:val="Heading6"/>
    <w:uiPriority w:val="7"/>
    <w:rsid w:val="007547E8"/>
    <w:rPr>
      <w:rFonts w:ascii="Century Gothic" w:eastAsia="Times New Roman" w:hAnsi="Century Gothic" w:cs="Times New Roman"/>
      <w:color w:val="404040"/>
      <w:lang w:eastAsia="en-AU"/>
    </w:rPr>
  </w:style>
  <w:style w:type="character" w:customStyle="1" w:styleId="Heading7Char">
    <w:name w:val="Heading 7 Char"/>
    <w:link w:val="Heading7"/>
    <w:uiPriority w:val="8"/>
    <w:rsid w:val="007547E8"/>
    <w:rPr>
      <w:rFonts w:ascii="Century Gothic" w:eastAsia="Times New Roman" w:hAnsi="Century Gothic" w:cs="Times New Roman"/>
      <w:iCs/>
      <w:color w:val="404040"/>
    </w:rPr>
  </w:style>
  <w:style w:type="character" w:customStyle="1" w:styleId="Heading8Char">
    <w:name w:val="Heading 8 Char"/>
    <w:link w:val="Heading8"/>
    <w:uiPriority w:val="9"/>
    <w:semiHidden/>
    <w:rsid w:val="0028739C"/>
    <w:rPr>
      <w:rFonts w:ascii="Calibri Light" w:eastAsia="Times New Roman" w:hAnsi="Calibri Light" w:cs="Times New Roman"/>
      <w:color w:val="000000"/>
      <w:sz w:val="21"/>
      <w:szCs w:val="21"/>
    </w:rPr>
  </w:style>
  <w:style w:type="character" w:customStyle="1" w:styleId="Heading9Char">
    <w:name w:val="Heading 9 Char"/>
    <w:link w:val="Heading9"/>
    <w:uiPriority w:val="9"/>
    <w:semiHidden/>
    <w:rsid w:val="00F4427E"/>
    <w:rPr>
      <w:rFonts w:ascii="Calibri Light" w:eastAsia="Times New Roman" w:hAnsi="Calibri Light" w:cs="Times New Roman"/>
      <w:i/>
      <w:iCs/>
      <w:color w:val="000000"/>
      <w:sz w:val="21"/>
      <w:szCs w:val="21"/>
    </w:rPr>
  </w:style>
  <w:style w:type="paragraph" w:styleId="Title">
    <w:name w:val="Title"/>
    <w:basedOn w:val="Normal"/>
    <w:next w:val="Normal"/>
    <w:link w:val="TitleChar"/>
    <w:qFormat/>
    <w:rsid w:val="00F4427E"/>
    <w:pPr>
      <w:spacing w:after="0" w:line="240" w:lineRule="auto"/>
      <w:contextualSpacing/>
    </w:pPr>
    <w:rPr>
      <w:rFonts w:eastAsia="Times New Roman"/>
      <w:b/>
      <w:color w:val="FFFFFF"/>
      <w:spacing w:val="-10"/>
      <w:kern w:val="28"/>
      <w:sz w:val="56"/>
      <w:szCs w:val="56"/>
    </w:rPr>
  </w:style>
  <w:style w:type="character" w:customStyle="1" w:styleId="TitleChar">
    <w:name w:val="Title Char"/>
    <w:link w:val="Title"/>
    <w:rsid w:val="00F4427E"/>
    <w:rPr>
      <w:rFonts w:ascii="Century Gothic" w:eastAsia="Times New Roman" w:hAnsi="Century Gothic" w:cs="Times New Roman"/>
      <w:b/>
      <w:color w:val="FFFFFF"/>
      <w:spacing w:val="-10"/>
      <w:kern w:val="28"/>
      <w:sz w:val="56"/>
      <w:szCs w:val="56"/>
    </w:rPr>
  </w:style>
  <w:style w:type="paragraph" w:styleId="BalloonText">
    <w:name w:val="Balloon Text"/>
    <w:basedOn w:val="Normal"/>
    <w:link w:val="BalloonTextChar"/>
    <w:uiPriority w:val="99"/>
    <w:semiHidden/>
    <w:unhideWhenUsed/>
    <w:rsid w:val="0028739C"/>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28739C"/>
    <w:rPr>
      <w:rFonts w:ascii="Segoe UI" w:hAnsi="Segoe UI" w:cs="Segoe UI"/>
      <w:color w:val="404040"/>
      <w:sz w:val="18"/>
      <w:szCs w:val="18"/>
    </w:rPr>
  </w:style>
  <w:style w:type="paragraph" w:styleId="Subtitle">
    <w:name w:val="Subtitle"/>
    <w:basedOn w:val="Normal"/>
    <w:next w:val="Normal"/>
    <w:link w:val="SubtitleChar"/>
    <w:uiPriority w:val="1"/>
    <w:qFormat/>
    <w:rsid w:val="00F4427E"/>
    <w:pPr>
      <w:numPr>
        <w:ilvl w:val="1"/>
      </w:numPr>
      <w:spacing w:after="160"/>
    </w:pPr>
    <w:rPr>
      <w:rFonts w:eastAsia="Times New Roman"/>
      <w:b/>
      <w:color w:val="FFFFFF"/>
      <w:spacing w:val="15"/>
      <w:sz w:val="48"/>
      <w:szCs w:val="48"/>
    </w:rPr>
  </w:style>
  <w:style w:type="character" w:customStyle="1" w:styleId="SubtitleChar">
    <w:name w:val="Subtitle Char"/>
    <w:link w:val="Subtitle"/>
    <w:uiPriority w:val="1"/>
    <w:rsid w:val="00F4427E"/>
    <w:rPr>
      <w:rFonts w:ascii="Century Gothic" w:eastAsia="Times New Roman" w:hAnsi="Century Gothic"/>
      <w:b/>
      <w:color w:val="FFFFFF"/>
      <w:spacing w:val="15"/>
      <w:sz w:val="48"/>
      <w:szCs w:val="48"/>
    </w:rPr>
  </w:style>
  <w:style w:type="paragraph" w:styleId="BodyText">
    <w:name w:val="Body Text"/>
    <w:basedOn w:val="Normal"/>
    <w:link w:val="BodyTextChar"/>
    <w:rsid w:val="0028739C"/>
    <w:pPr>
      <w:ind w:left="851"/>
    </w:pPr>
    <w:rPr>
      <w:rFonts w:cs="Arial"/>
    </w:rPr>
  </w:style>
  <w:style w:type="character" w:customStyle="1" w:styleId="BodyTextChar">
    <w:name w:val="Body Text Char"/>
    <w:link w:val="BodyText"/>
    <w:rsid w:val="0028739C"/>
    <w:rPr>
      <w:rFonts w:ascii="Century Gothic" w:hAnsi="Century Gothic" w:cs="Arial"/>
      <w:color w:val="404040"/>
    </w:rPr>
  </w:style>
  <w:style w:type="table" w:styleId="TableGrid">
    <w:name w:val="Table Grid"/>
    <w:aliases w:val="Table Cells"/>
    <w:basedOn w:val="TableNormal"/>
    <w:uiPriority w:val="59"/>
    <w:rsid w:val="0028739C"/>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8739C"/>
    <w:pPr>
      <w:tabs>
        <w:tab w:val="center" w:pos="4513"/>
        <w:tab w:val="right" w:pos="9026"/>
      </w:tabs>
      <w:spacing w:after="0" w:line="240" w:lineRule="auto"/>
    </w:pPr>
  </w:style>
  <w:style w:type="character" w:customStyle="1" w:styleId="HeaderChar">
    <w:name w:val="Header Char"/>
    <w:link w:val="Header"/>
    <w:uiPriority w:val="99"/>
    <w:rsid w:val="0028739C"/>
    <w:rPr>
      <w:rFonts w:ascii="Century Gothic" w:hAnsi="Century Gothic"/>
      <w:color w:val="404040"/>
    </w:rPr>
  </w:style>
  <w:style w:type="paragraph" w:styleId="Footer">
    <w:name w:val="footer"/>
    <w:basedOn w:val="Normal"/>
    <w:link w:val="FooterChar"/>
    <w:uiPriority w:val="99"/>
    <w:unhideWhenUsed/>
    <w:rsid w:val="0028739C"/>
    <w:pPr>
      <w:tabs>
        <w:tab w:val="center" w:pos="4513"/>
        <w:tab w:val="right" w:pos="9026"/>
      </w:tabs>
      <w:spacing w:after="0" w:line="240" w:lineRule="auto"/>
    </w:pPr>
  </w:style>
  <w:style w:type="character" w:customStyle="1" w:styleId="FooterChar">
    <w:name w:val="Footer Char"/>
    <w:link w:val="Footer"/>
    <w:uiPriority w:val="99"/>
    <w:rsid w:val="0028739C"/>
    <w:rPr>
      <w:rFonts w:ascii="Century Gothic" w:hAnsi="Century Gothic"/>
      <w:color w:val="404040"/>
    </w:rPr>
  </w:style>
  <w:style w:type="character" w:styleId="Hyperlink">
    <w:name w:val="Hyperlink"/>
    <w:uiPriority w:val="99"/>
    <w:qFormat/>
    <w:rsid w:val="009D56CC"/>
    <w:rPr>
      <w:rFonts w:ascii="Century Gothic" w:hAnsi="Century Gothic"/>
      <w:color w:val="1488CA"/>
      <w:sz w:val="22"/>
      <w:u w:val="single"/>
    </w:rPr>
  </w:style>
  <w:style w:type="paragraph" w:styleId="TOC1">
    <w:name w:val="toc 1"/>
    <w:basedOn w:val="Normal"/>
    <w:next w:val="Normal"/>
    <w:link w:val="TOC1Char"/>
    <w:autoRedefine/>
    <w:uiPriority w:val="39"/>
    <w:unhideWhenUsed/>
    <w:rsid w:val="0028739C"/>
    <w:pPr>
      <w:tabs>
        <w:tab w:val="left" w:pos="851"/>
        <w:tab w:val="right" w:leader="dot" w:pos="10456"/>
      </w:tabs>
      <w:spacing w:after="100"/>
    </w:pPr>
  </w:style>
  <w:style w:type="paragraph" w:customStyle="1" w:styleId="Style10">
    <w:name w:val="Style1"/>
    <w:basedOn w:val="ListParagraph"/>
    <w:link w:val="Style1Char0"/>
    <w:rsid w:val="0028739C"/>
    <w:rPr>
      <w:rFonts w:cs="Helvetica"/>
      <w:color w:val="000000"/>
    </w:rPr>
  </w:style>
  <w:style w:type="character" w:customStyle="1" w:styleId="Style1Char0">
    <w:name w:val="Style1 Char"/>
    <w:link w:val="Style10"/>
    <w:rsid w:val="0028739C"/>
    <w:rPr>
      <w:rFonts w:ascii="Century Gothic" w:hAnsi="Century Gothic" w:cs="Helvetica"/>
      <w:color w:val="000000"/>
    </w:rPr>
  </w:style>
  <w:style w:type="paragraph" w:customStyle="1" w:styleId="Style20">
    <w:name w:val="Style2"/>
    <w:basedOn w:val="Style10"/>
    <w:link w:val="Style2Char0"/>
    <w:rsid w:val="0028739C"/>
    <w:pPr>
      <w:spacing w:before="240"/>
      <w:ind w:left="576" w:hanging="576"/>
    </w:pPr>
  </w:style>
  <w:style w:type="paragraph" w:styleId="ListParagraph">
    <w:name w:val="List Paragraph"/>
    <w:basedOn w:val="Normal"/>
    <w:link w:val="ListParagraphChar"/>
    <w:uiPriority w:val="34"/>
    <w:qFormat/>
    <w:rsid w:val="0028739C"/>
    <w:pPr>
      <w:numPr>
        <w:numId w:val="7"/>
      </w:numPr>
      <w:contextualSpacing/>
    </w:pPr>
  </w:style>
  <w:style w:type="paragraph" w:customStyle="1" w:styleId="ListBulletTable2">
    <w:name w:val="List Bullet Table 2"/>
    <w:basedOn w:val="Normal"/>
    <w:rsid w:val="0028739C"/>
    <w:pPr>
      <w:numPr>
        <w:numId w:val="8"/>
      </w:numPr>
    </w:pPr>
    <w:rPr>
      <w:rFonts w:cs="Helvetica"/>
    </w:rPr>
  </w:style>
  <w:style w:type="character" w:customStyle="1" w:styleId="Style2Char0">
    <w:name w:val="Style2 Char"/>
    <w:link w:val="Style20"/>
    <w:rsid w:val="0028739C"/>
    <w:rPr>
      <w:rFonts w:ascii="Century Gothic" w:hAnsi="Century Gothic" w:cs="Helvetica"/>
      <w:color w:val="000000"/>
    </w:rPr>
  </w:style>
  <w:style w:type="paragraph" w:styleId="TOCHeading">
    <w:name w:val="TOC Heading"/>
    <w:basedOn w:val="Heading1"/>
    <w:next w:val="Normal"/>
    <w:uiPriority w:val="39"/>
    <w:unhideWhenUsed/>
    <w:rsid w:val="0028739C"/>
    <w:pPr>
      <w:numPr>
        <w:numId w:val="0"/>
      </w:numPr>
      <w:spacing w:line="259" w:lineRule="auto"/>
      <w:outlineLvl w:val="9"/>
    </w:pPr>
    <w:rPr>
      <w:rFonts w:ascii="Calibri Light" w:hAnsi="Calibri Light"/>
      <w:color w:val="2E74B5"/>
      <w:lang w:val="en-US"/>
    </w:rPr>
  </w:style>
  <w:style w:type="paragraph" w:styleId="TOC2">
    <w:name w:val="toc 2"/>
    <w:basedOn w:val="Normal"/>
    <w:next w:val="Normal"/>
    <w:autoRedefine/>
    <w:uiPriority w:val="39"/>
    <w:unhideWhenUsed/>
    <w:rsid w:val="0028739C"/>
    <w:pPr>
      <w:tabs>
        <w:tab w:val="left" w:pos="880"/>
        <w:tab w:val="right" w:leader="dot" w:pos="10456"/>
      </w:tabs>
      <w:spacing w:after="100"/>
    </w:pPr>
  </w:style>
  <w:style w:type="paragraph" w:styleId="TOC3">
    <w:name w:val="toc 3"/>
    <w:basedOn w:val="Normal"/>
    <w:next w:val="Normal"/>
    <w:autoRedefine/>
    <w:uiPriority w:val="39"/>
    <w:unhideWhenUsed/>
    <w:rsid w:val="0028739C"/>
    <w:pPr>
      <w:spacing w:after="100"/>
      <w:ind w:left="440"/>
    </w:pPr>
  </w:style>
  <w:style w:type="character" w:styleId="CommentReference">
    <w:name w:val="annotation reference"/>
    <w:uiPriority w:val="99"/>
    <w:semiHidden/>
    <w:unhideWhenUsed/>
    <w:rsid w:val="0028739C"/>
    <w:rPr>
      <w:sz w:val="16"/>
      <w:szCs w:val="16"/>
    </w:rPr>
  </w:style>
  <w:style w:type="paragraph" w:styleId="CommentText">
    <w:name w:val="annotation text"/>
    <w:basedOn w:val="Normal"/>
    <w:link w:val="CommentTextChar"/>
    <w:uiPriority w:val="99"/>
    <w:semiHidden/>
    <w:unhideWhenUsed/>
    <w:rsid w:val="0028739C"/>
    <w:pPr>
      <w:spacing w:line="240" w:lineRule="auto"/>
    </w:pPr>
    <w:rPr>
      <w:sz w:val="20"/>
      <w:szCs w:val="20"/>
    </w:rPr>
  </w:style>
  <w:style w:type="character" w:customStyle="1" w:styleId="CommentTextChar">
    <w:name w:val="Comment Text Char"/>
    <w:link w:val="CommentText"/>
    <w:uiPriority w:val="99"/>
    <w:semiHidden/>
    <w:rsid w:val="0028739C"/>
    <w:rPr>
      <w:rFonts w:ascii="Century Gothic" w:hAnsi="Century Gothic"/>
      <w:color w:val="404040"/>
      <w:sz w:val="20"/>
      <w:szCs w:val="20"/>
    </w:rPr>
  </w:style>
  <w:style w:type="paragraph" w:styleId="CommentSubject">
    <w:name w:val="annotation subject"/>
    <w:basedOn w:val="CommentText"/>
    <w:next w:val="CommentText"/>
    <w:link w:val="CommentSubjectChar"/>
    <w:uiPriority w:val="99"/>
    <w:semiHidden/>
    <w:unhideWhenUsed/>
    <w:rsid w:val="0028739C"/>
    <w:rPr>
      <w:b/>
      <w:bCs/>
    </w:rPr>
  </w:style>
  <w:style w:type="character" w:customStyle="1" w:styleId="CommentSubjectChar">
    <w:name w:val="Comment Subject Char"/>
    <w:link w:val="CommentSubject"/>
    <w:uiPriority w:val="99"/>
    <w:semiHidden/>
    <w:rsid w:val="0028739C"/>
    <w:rPr>
      <w:rFonts w:ascii="Century Gothic" w:hAnsi="Century Gothic"/>
      <w:b/>
      <w:bCs/>
      <w:color w:val="404040"/>
      <w:sz w:val="20"/>
      <w:szCs w:val="20"/>
    </w:rPr>
  </w:style>
  <w:style w:type="paragraph" w:styleId="Revision">
    <w:name w:val="Revision"/>
    <w:hidden/>
    <w:uiPriority w:val="99"/>
    <w:semiHidden/>
    <w:rsid w:val="006B668D"/>
    <w:rPr>
      <w:sz w:val="22"/>
      <w:szCs w:val="22"/>
      <w:lang w:eastAsia="en-US"/>
    </w:rPr>
  </w:style>
  <w:style w:type="paragraph" w:styleId="NormalWeb">
    <w:name w:val="Normal (Web)"/>
    <w:basedOn w:val="Normal"/>
    <w:uiPriority w:val="99"/>
    <w:semiHidden/>
    <w:unhideWhenUsed/>
    <w:rsid w:val="0028739C"/>
    <w:pPr>
      <w:spacing w:before="100" w:beforeAutospacing="1" w:after="100" w:afterAutospacing="1" w:line="240" w:lineRule="auto"/>
    </w:pPr>
    <w:rPr>
      <w:rFonts w:ascii="Times New Roman" w:eastAsia="Times New Roman" w:hAnsi="Times New Roman"/>
      <w:sz w:val="24"/>
      <w:szCs w:val="24"/>
      <w:lang w:eastAsia="en-AU"/>
    </w:rPr>
  </w:style>
  <w:style w:type="paragraph" w:customStyle="1" w:styleId="definitions">
    <w:name w:val="definitions"/>
    <w:basedOn w:val="Normal"/>
    <w:rsid w:val="0028739C"/>
    <w:pPr>
      <w:spacing w:before="100" w:beforeAutospacing="1" w:after="100" w:afterAutospacing="1" w:line="240" w:lineRule="auto"/>
    </w:pPr>
    <w:rPr>
      <w:rFonts w:ascii="Times New Roman" w:eastAsia="Times New Roman" w:hAnsi="Times New Roman"/>
      <w:sz w:val="24"/>
      <w:szCs w:val="24"/>
      <w:lang w:eastAsia="en-AU"/>
    </w:rPr>
  </w:style>
  <w:style w:type="paragraph" w:customStyle="1" w:styleId="style11">
    <w:name w:val="style1"/>
    <w:basedOn w:val="Normal"/>
    <w:rsid w:val="0028739C"/>
    <w:pPr>
      <w:spacing w:before="100" w:beforeAutospacing="1" w:after="100" w:afterAutospacing="1" w:line="240" w:lineRule="auto"/>
    </w:pPr>
    <w:rPr>
      <w:rFonts w:ascii="Times New Roman" w:eastAsia="Times New Roman" w:hAnsi="Times New Roman"/>
      <w:sz w:val="24"/>
      <w:szCs w:val="24"/>
      <w:lang w:eastAsia="en-AU"/>
    </w:rPr>
  </w:style>
  <w:style w:type="paragraph" w:customStyle="1" w:styleId="bodytextstyle1">
    <w:name w:val="bodytextstyle1"/>
    <w:basedOn w:val="Normal"/>
    <w:rsid w:val="0028739C"/>
    <w:pPr>
      <w:spacing w:before="100" w:beforeAutospacing="1" w:after="100" w:afterAutospacing="1" w:line="240" w:lineRule="auto"/>
    </w:pPr>
    <w:rPr>
      <w:rFonts w:ascii="Times New Roman" w:eastAsia="Times New Roman" w:hAnsi="Times New Roman"/>
      <w:sz w:val="24"/>
      <w:szCs w:val="24"/>
      <w:lang w:eastAsia="en-AU"/>
    </w:rPr>
  </w:style>
  <w:style w:type="paragraph" w:customStyle="1" w:styleId="style21">
    <w:name w:val="style2"/>
    <w:basedOn w:val="Normal"/>
    <w:rsid w:val="0028739C"/>
    <w:pPr>
      <w:spacing w:before="100" w:beforeAutospacing="1" w:after="100" w:afterAutospacing="1" w:line="240" w:lineRule="auto"/>
    </w:pPr>
    <w:rPr>
      <w:rFonts w:ascii="Times New Roman" w:eastAsia="Times New Roman" w:hAnsi="Times New Roman"/>
      <w:sz w:val="24"/>
      <w:szCs w:val="24"/>
      <w:lang w:eastAsia="en-AU"/>
    </w:rPr>
  </w:style>
  <w:style w:type="paragraph" w:styleId="NoSpacing">
    <w:name w:val="No Spacing"/>
    <w:link w:val="NoSpacingChar"/>
    <w:uiPriority w:val="1"/>
    <w:rsid w:val="0028739C"/>
    <w:rPr>
      <w:rFonts w:eastAsia="Times New Roman"/>
      <w:sz w:val="22"/>
      <w:szCs w:val="22"/>
      <w:lang w:val="en-US" w:eastAsia="en-US"/>
    </w:rPr>
  </w:style>
  <w:style w:type="character" w:customStyle="1" w:styleId="NoSpacingChar">
    <w:name w:val="No Spacing Char"/>
    <w:link w:val="NoSpacing"/>
    <w:uiPriority w:val="1"/>
    <w:rsid w:val="0028739C"/>
    <w:rPr>
      <w:rFonts w:eastAsia="Times New Roman"/>
      <w:lang w:val="en-US"/>
    </w:rPr>
  </w:style>
  <w:style w:type="paragraph" w:customStyle="1" w:styleId="bodytextstyle2">
    <w:name w:val="bodytextstyle2"/>
    <w:basedOn w:val="Normal"/>
    <w:rsid w:val="0028739C"/>
    <w:pPr>
      <w:spacing w:before="100" w:beforeAutospacing="1" w:after="100" w:afterAutospacing="1" w:line="240" w:lineRule="auto"/>
    </w:pPr>
    <w:rPr>
      <w:rFonts w:ascii="Times New Roman" w:eastAsia="Times New Roman" w:hAnsi="Times New Roman"/>
      <w:color w:val="000000"/>
      <w:sz w:val="24"/>
      <w:szCs w:val="24"/>
      <w:lang w:eastAsia="en-AU"/>
    </w:rPr>
  </w:style>
  <w:style w:type="character" w:styleId="FollowedHyperlink">
    <w:name w:val="FollowedHyperlink"/>
    <w:uiPriority w:val="99"/>
    <w:semiHidden/>
    <w:unhideWhenUsed/>
    <w:rsid w:val="0028739C"/>
    <w:rPr>
      <w:color w:val="954F72"/>
      <w:u w:val="single"/>
    </w:rPr>
  </w:style>
  <w:style w:type="paragraph" w:customStyle="1" w:styleId="style30">
    <w:name w:val="style3"/>
    <w:basedOn w:val="Normal"/>
    <w:rsid w:val="0028739C"/>
    <w:pPr>
      <w:spacing w:before="100" w:beforeAutospacing="1" w:after="100" w:afterAutospacing="1" w:line="240" w:lineRule="auto"/>
    </w:pPr>
    <w:rPr>
      <w:rFonts w:ascii="Times New Roman" w:eastAsia="Times New Roman" w:hAnsi="Times New Roman"/>
      <w:color w:val="000000"/>
      <w:sz w:val="24"/>
      <w:szCs w:val="24"/>
      <w:lang w:eastAsia="en-AU"/>
    </w:rPr>
  </w:style>
  <w:style w:type="paragraph" w:customStyle="1" w:styleId="c3">
    <w:name w:val="c3"/>
    <w:basedOn w:val="Normal"/>
    <w:rsid w:val="0028739C"/>
    <w:pPr>
      <w:spacing w:before="100" w:beforeAutospacing="1" w:after="100" w:afterAutospacing="1" w:line="240" w:lineRule="auto"/>
    </w:pPr>
    <w:rPr>
      <w:rFonts w:ascii="Times New Roman" w:eastAsia="Times New Roman" w:hAnsi="Times New Roman"/>
      <w:color w:val="000000"/>
      <w:sz w:val="24"/>
      <w:szCs w:val="24"/>
      <w:lang w:eastAsia="en-AU"/>
    </w:rPr>
  </w:style>
  <w:style w:type="paragraph" w:customStyle="1" w:styleId="procedure">
    <w:name w:val="procedure"/>
    <w:basedOn w:val="Normal"/>
    <w:rsid w:val="0028739C"/>
    <w:pPr>
      <w:spacing w:before="100" w:beforeAutospacing="1" w:after="100" w:afterAutospacing="1" w:line="240" w:lineRule="auto"/>
    </w:pPr>
    <w:rPr>
      <w:rFonts w:ascii="Times New Roman" w:eastAsia="Times New Roman" w:hAnsi="Times New Roman"/>
      <w:color w:val="000000"/>
      <w:sz w:val="24"/>
      <w:szCs w:val="24"/>
      <w:lang w:eastAsia="en-AU"/>
    </w:rPr>
  </w:style>
  <w:style w:type="paragraph" w:customStyle="1" w:styleId="backtotop">
    <w:name w:val="backtotop"/>
    <w:basedOn w:val="Normal"/>
    <w:rsid w:val="0028739C"/>
    <w:pPr>
      <w:spacing w:before="100" w:beforeAutospacing="1" w:after="100" w:afterAutospacing="1" w:line="240" w:lineRule="auto"/>
    </w:pPr>
    <w:rPr>
      <w:rFonts w:ascii="Times New Roman" w:eastAsia="Times New Roman" w:hAnsi="Times New Roman"/>
      <w:color w:val="000000"/>
      <w:sz w:val="24"/>
      <w:szCs w:val="24"/>
      <w:lang w:eastAsia="en-AU"/>
    </w:rPr>
  </w:style>
  <w:style w:type="paragraph" w:customStyle="1" w:styleId="c1">
    <w:name w:val="c1"/>
    <w:basedOn w:val="Normal"/>
    <w:rsid w:val="0028739C"/>
    <w:pPr>
      <w:spacing w:before="100" w:beforeAutospacing="1" w:after="100" w:afterAutospacing="1" w:line="240" w:lineRule="auto"/>
    </w:pPr>
    <w:rPr>
      <w:rFonts w:ascii="Times New Roman" w:eastAsia="Times New Roman" w:hAnsi="Times New Roman"/>
      <w:color w:val="000000"/>
      <w:sz w:val="24"/>
      <w:szCs w:val="24"/>
      <w:lang w:eastAsia="en-AU"/>
    </w:rPr>
  </w:style>
  <w:style w:type="character" w:styleId="PlaceholderText">
    <w:name w:val="Placeholder Text"/>
    <w:uiPriority w:val="99"/>
    <w:semiHidden/>
    <w:rsid w:val="0028739C"/>
    <w:rPr>
      <w:color w:val="808080"/>
    </w:rPr>
  </w:style>
  <w:style w:type="paragraph" w:styleId="Caption">
    <w:name w:val="caption"/>
    <w:basedOn w:val="Normal"/>
    <w:next w:val="Normal"/>
    <w:uiPriority w:val="35"/>
    <w:unhideWhenUsed/>
    <w:rsid w:val="0028739C"/>
    <w:pPr>
      <w:spacing w:line="240" w:lineRule="auto"/>
    </w:pPr>
    <w:rPr>
      <w:b/>
      <w:iCs/>
      <w:color w:val="27348B"/>
      <w:szCs w:val="18"/>
    </w:rPr>
  </w:style>
  <w:style w:type="table" w:styleId="PlainTable5">
    <w:name w:val="Plain Table 5"/>
    <w:basedOn w:val="TableNormal"/>
    <w:uiPriority w:val="45"/>
    <w:rsid w:val="0028739C"/>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1">
    <w:name w:val="Plain Table 1"/>
    <w:basedOn w:val="TableNormal"/>
    <w:uiPriority w:val="41"/>
    <w:rsid w:val="0028739C"/>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Content">
    <w:name w:val="Content"/>
    <w:basedOn w:val="TOC1"/>
    <w:link w:val="ContentChar"/>
    <w:uiPriority w:val="10"/>
    <w:qFormat/>
    <w:rsid w:val="00F4427E"/>
  </w:style>
  <w:style w:type="paragraph" w:customStyle="1" w:styleId="Note">
    <w:name w:val="Note"/>
    <w:basedOn w:val="Normal"/>
    <w:link w:val="NoteChar"/>
    <w:uiPriority w:val="12"/>
    <w:qFormat/>
    <w:rsid w:val="00F4427E"/>
    <w:rPr>
      <w:b/>
      <w:color w:val="003087"/>
    </w:rPr>
  </w:style>
  <w:style w:type="character" w:customStyle="1" w:styleId="TOC1Char">
    <w:name w:val="TOC 1 Char"/>
    <w:link w:val="TOC1"/>
    <w:uiPriority w:val="39"/>
    <w:rsid w:val="0028739C"/>
    <w:rPr>
      <w:rFonts w:ascii="Century Gothic" w:hAnsi="Century Gothic"/>
      <w:color w:val="404040"/>
    </w:rPr>
  </w:style>
  <w:style w:type="character" w:customStyle="1" w:styleId="ContentChar">
    <w:name w:val="Content Char"/>
    <w:link w:val="Content"/>
    <w:uiPriority w:val="10"/>
    <w:rsid w:val="00F4427E"/>
    <w:rPr>
      <w:rFonts w:ascii="Century Gothic" w:hAnsi="Century Gothic"/>
      <w:color w:val="404040"/>
    </w:rPr>
  </w:style>
  <w:style w:type="paragraph" w:customStyle="1" w:styleId="Bullet">
    <w:name w:val="Bullet"/>
    <w:basedOn w:val="ListParagraph"/>
    <w:link w:val="BulletChar"/>
    <w:uiPriority w:val="11"/>
    <w:qFormat/>
    <w:rsid w:val="00F4427E"/>
    <w:pPr>
      <w:numPr>
        <w:numId w:val="0"/>
      </w:numPr>
      <w:ind w:left="1418" w:hanging="851"/>
    </w:pPr>
  </w:style>
  <w:style w:type="character" w:customStyle="1" w:styleId="NoteChar">
    <w:name w:val="Note Char"/>
    <w:link w:val="Note"/>
    <w:uiPriority w:val="12"/>
    <w:rsid w:val="00F4427E"/>
    <w:rPr>
      <w:rFonts w:ascii="Century Gothic" w:hAnsi="Century Gothic"/>
      <w:b/>
      <w:color w:val="003087"/>
    </w:rPr>
  </w:style>
  <w:style w:type="character" w:customStyle="1" w:styleId="ListParagraphChar">
    <w:name w:val="List Paragraph Char"/>
    <w:link w:val="ListParagraph"/>
    <w:uiPriority w:val="34"/>
    <w:rsid w:val="0028739C"/>
    <w:rPr>
      <w:rFonts w:ascii="Century Gothic" w:hAnsi="Century Gothic"/>
      <w:color w:val="404040"/>
    </w:rPr>
  </w:style>
  <w:style w:type="character" w:customStyle="1" w:styleId="BulletChar">
    <w:name w:val="Bullet Char"/>
    <w:link w:val="Bullet"/>
    <w:uiPriority w:val="11"/>
    <w:rsid w:val="00F4427E"/>
    <w:rPr>
      <w:rFonts w:ascii="Century Gothic" w:hAnsi="Century Gothic"/>
      <w:color w:val="404040"/>
    </w:rPr>
  </w:style>
  <w:style w:type="paragraph" w:customStyle="1" w:styleId="Metadata">
    <w:name w:val="Metadata"/>
    <w:basedOn w:val="Normal"/>
    <w:link w:val="MetadataChar"/>
    <w:uiPriority w:val="14"/>
    <w:qFormat/>
    <w:rsid w:val="0010647D"/>
    <w:rPr>
      <w:b/>
      <w:color w:val="003087"/>
    </w:rPr>
  </w:style>
  <w:style w:type="paragraph" w:customStyle="1" w:styleId="End">
    <w:name w:val="End"/>
    <w:basedOn w:val="Title"/>
    <w:link w:val="EndChar"/>
    <w:uiPriority w:val="15"/>
    <w:qFormat/>
    <w:rsid w:val="007547E8"/>
    <w:rPr>
      <w:b w:val="0"/>
      <w:color w:val="003087"/>
      <w:lang w:eastAsia="en-AU"/>
    </w:rPr>
  </w:style>
  <w:style w:type="character" w:customStyle="1" w:styleId="MetadataChar">
    <w:name w:val="Metadata Char"/>
    <w:link w:val="Metadata"/>
    <w:uiPriority w:val="14"/>
    <w:rsid w:val="007547E8"/>
    <w:rPr>
      <w:rFonts w:ascii="Century Gothic" w:hAnsi="Century Gothic"/>
      <w:b/>
      <w:color w:val="003087"/>
    </w:rPr>
  </w:style>
  <w:style w:type="character" w:customStyle="1" w:styleId="EndChar">
    <w:name w:val="End Char"/>
    <w:link w:val="End"/>
    <w:uiPriority w:val="15"/>
    <w:rsid w:val="007547E8"/>
    <w:rPr>
      <w:rFonts w:ascii="Century Gothic" w:eastAsia="Times New Roman" w:hAnsi="Century Gothic" w:cs="Times New Roman"/>
      <w:b w:val="0"/>
      <w:color w:val="003087"/>
      <w:spacing w:val="-10"/>
      <w:kern w:val="28"/>
      <w:sz w:val="56"/>
      <w:szCs w:val="56"/>
      <w:lang w:eastAsia="en-AU"/>
    </w:rPr>
  </w:style>
  <w:style w:type="paragraph" w:customStyle="1" w:styleId="ClauseA">
    <w:name w:val="Clause (A)"/>
    <w:basedOn w:val="Heading4"/>
    <w:link w:val="ClauseAChar"/>
    <w:uiPriority w:val="9"/>
    <w:qFormat/>
    <w:rsid w:val="00676253"/>
  </w:style>
  <w:style w:type="paragraph" w:customStyle="1" w:styleId="Clause1">
    <w:name w:val="Clause (1)"/>
    <w:basedOn w:val="Heading5"/>
    <w:link w:val="Clause1Char"/>
    <w:uiPriority w:val="9"/>
    <w:qFormat/>
    <w:rsid w:val="00676253"/>
  </w:style>
  <w:style w:type="character" w:customStyle="1" w:styleId="ClauseAChar">
    <w:name w:val="Clause (A) Char"/>
    <w:link w:val="ClauseA"/>
    <w:uiPriority w:val="9"/>
    <w:rsid w:val="00676253"/>
    <w:rPr>
      <w:rFonts w:ascii="Century Gothic" w:eastAsia="Times New Roman" w:hAnsi="Century Gothic"/>
      <w:color w:val="404040"/>
      <w:sz w:val="22"/>
      <w:szCs w:val="22"/>
    </w:rPr>
  </w:style>
  <w:style w:type="paragraph" w:customStyle="1" w:styleId="Clausea0">
    <w:name w:val="Clause (a)"/>
    <w:basedOn w:val="Heading6"/>
    <w:link w:val="ClauseaChar0"/>
    <w:uiPriority w:val="9"/>
    <w:qFormat/>
    <w:rsid w:val="008D2E9F"/>
  </w:style>
  <w:style w:type="character" w:customStyle="1" w:styleId="Clause1Char">
    <w:name w:val="Clause (1) Char"/>
    <w:link w:val="Clause1"/>
    <w:uiPriority w:val="9"/>
    <w:rsid w:val="00676253"/>
    <w:rPr>
      <w:rFonts w:ascii="Century Gothic" w:eastAsia="Times New Roman" w:hAnsi="Century Gothic"/>
      <w:color w:val="404040"/>
      <w:sz w:val="22"/>
      <w:szCs w:val="22"/>
    </w:rPr>
  </w:style>
  <w:style w:type="character" w:customStyle="1" w:styleId="ClauseaChar0">
    <w:name w:val="Clause (a) Char"/>
    <w:link w:val="Clausea0"/>
    <w:uiPriority w:val="9"/>
    <w:rsid w:val="008D2E9F"/>
    <w:rPr>
      <w:rFonts w:ascii="Century Gothic" w:eastAsia="Times New Roman" w:hAnsi="Century Gothic" w:cs="Times New Roman"/>
      <w:color w:val="404040"/>
      <w:lang w:eastAsia="en-AU"/>
    </w:rPr>
  </w:style>
  <w:style w:type="paragraph" w:customStyle="1" w:styleId="Style31">
    <w:name w:val="Style3"/>
    <w:basedOn w:val="Normal"/>
    <w:next w:val="Normal"/>
    <w:rsid w:val="008645AB"/>
    <w:pPr>
      <w:tabs>
        <w:tab w:val="num" w:pos="864"/>
      </w:tabs>
      <w:spacing w:after="0" w:line="240" w:lineRule="auto"/>
      <w:ind w:left="864" w:hanging="864"/>
    </w:pPr>
    <w:rPr>
      <w:rFonts w:ascii="Arial" w:eastAsia="Times New Roman" w:hAnsi="Arial"/>
      <w:color w:val="auto"/>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34300">
      <w:bodyDiv w:val="1"/>
      <w:marLeft w:val="0"/>
      <w:marRight w:val="0"/>
      <w:marTop w:val="0"/>
      <w:marBottom w:val="0"/>
      <w:divBdr>
        <w:top w:val="none" w:sz="0" w:space="0" w:color="auto"/>
        <w:left w:val="none" w:sz="0" w:space="0" w:color="auto"/>
        <w:bottom w:val="none" w:sz="0" w:space="0" w:color="auto"/>
        <w:right w:val="none" w:sz="0" w:space="0" w:color="auto"/>
      </w:divBdr>
    </w:div>
    <w:div w:id="56393091">
      <w:bodyDiv w:val="1"/>
      <w:marLeft w:val="0"/>
      <w:marRight w:val="0"/>
      <w:marTop w:val="0"/>
      <w:marBottom w:val="0"/>
      <w:divBdr>
        <w:top w:val="none" w:sz="0" w:space="0" w:color="auto"/>
        <w:left w:val="none" w:sz="0" w:space="0" w:color="auto"/>
        <w:bottom w:val="none" w:sz="0" w:space="0" w:color="auto"/>
        <w:right w:val="none" w:sz="0" w:space="0" w:color="auto"/>
      </w:divBdr>
    </w:div>
    <w:div w:id="266546185">
      <w:bodyDiv w:val="1"/>
      <w:marLeft w:val="0"/>
      <w:marRight w:val="0"/>
      <w:marTop w:val="0"/>
      <w:marBottom w:val="0"/>
      <w:divBdr>
        <w:top w:val="none" w:sz="0" w:space="0" w:color="auto"/>
        <w:left w:val="none" w:sz="0" w:space="0" w:color="auto"/>
        <w:bottom w:val="none" w:sz="0" w:space="0" w:color="auto"/>
        <w:right w:val="none" w:sz="0" w:space="0" w:color="auto"/>
      </w:divBdr>
    </w:div>
    <w:div w:id="362487243">
      <w:bodyDiv w:val="1"/>
      <w:marLeft w:val="0"/>
      <w:marRight w:val="0"/>
      <w:marTop w:val="0"/>
      <w:marBottom w:val="0"/>
      <w:divBdr>
        <w:top w:val="none" w:sz="0" w:space="0" w:color="auto"/>
        <w:left w:val="none" w:sz="0" w:space="0" w:color="auto"/>
        <w:bottom w:val="none" w:sz="0" w:space="0" w:color="auto"/>
        <w:right w:val="none" w:sz="0" w:space="0" w:color="auto"/>
      </w:divBdr>
    </w:div>
    <w:div w:id="387073259">
      <w:bodyDiv w:val="1"/>
      <w:marLeft w:val="0"/>
      <w:marRight w:val="0"/>
      <w:marTop w:val="0"/>
      <w:marBottom w:val="0"/>
      <w:divBdr>
        <w:top w:val="none" w:sz="0" w:space="0" w:color="auto"/>
        <w:left w:val="none" w:sz="0" w:space="0" w:color="auto"/>
        <w:bottom w:val="none" w:sz="0" w:space="0" w:color="auto"/>
        <w:right w:val="none" w:sz="0" w:space="0" w:color="auto"/>
      </w:divBdr>
    </w:div>
    <w:div w:id="414405409">
      <w:bodyDiv w:val="1"/>
      <w:marLeft w:val="0"/>
      <w:marRight w:val="0"/>
      <w:marTop w:val="0"/>
      <w:marBottom w:val="0"/>
      <w:divBdr>
        <w:top w:val="none" w:sz="0" w:space="0" w:color="auto"/>
        <w:left w:val="none" w:sz="0" w:space="0" w:color="auto"/>
        <w:bottom w:val="none" w:sz="0" w:space="0" w:color="auto"/>
        <w:right w:val="none" w:sz="0" w:space="0" w:color="auto"/>
      </w:divBdr>
    </w:div>
    <w:div w:id="419910603">
      <w:bodyDiv w:val="1"/>
      <w:marLeft w:val="0"/>
      <w:marRight w:val="0"/>
      <w:marTop w:val="0"/>
      <w:marBottom w:val="0"/>
      <w:divBdr>
        <w:top w:val="none" w:sz="0" w:space="0" w:color="auto"/>
        <w:left w:val="none" w:sz="0" w:space="0" w:color="auto"/>
        <w:bottom w:val="none" w:sz="0" w:space="0" w:color="auto"/>
        <w:right w:val="none" w:sz="0" w:space="0" w:color="auto"/>
      </w:divBdr>
    </w:div>
    <w:div w:id="420570086">
      <w:bodyDiv w:val="1"/>
      <w:marLeft w:val="0"/>
      <w:marRight w:val="0"/>
      <w:marTop w:val="0"/>
      <w:marBottom w:val="0"/>
      <w:divBdr>
        <w:top w:val="none" w:sz="0" w:space="0" w:color="auto"/>
        <w:left w:val="none" w:sz="0" w:space="0" w:color="auto"/>
        <w:bottom w:val="none" w:sz="0" w:space="0" w:color="auto"/>
        <w:right w:val="none" w:sz="0" w:space="0" w:color="auto"/>
      </w:divBdr>
    </w:div>
    <w:div w:id="500511255">
      <w:bodyDiv w:val="1"/>
      <w:marLeft w:val="0"/>
      <w:marRight w:val="0"/>
      <w:marTop w:val="0"/>
      <w:marBottom w:val="0"/>
      <w:divBdr>
        <w:top w:val="none" w:sz="0" w:space="0" w:color="auto"/>
        <w:left w:val="none" w:sz="0" w:space="0" w:color="auto"/>
        <w:bottom w:val="none" w:sz="0" w:space="0" w:color="auto"/>
        <w:right w:val="none" w:sz="0" w:space="0" w:color="auto"/>
      </w:divBdr>
    </w:div>
    <w:div w:id="608782988">
      <w:bodyDiv w:val="1"/>
      <w:marLeft w:val="0"/>
      <w:marRight w:val="0"/>
      <w:marTop w:val="0"/>
      <w:marBottom w:val="0"/>
      <w:divBdr>
        <w:top w:val="none" w:sz="0" w:space="0" w:color="auto"/>
        <w:left w:val="none" w:sz="0" w:space="0" w:color="auto"/>
        <w:bottom w:val="none" w:sz="0" w:space="0" w:color="auto"/>
        <w:right w:val="none" w:sz="0" w:space="0" w:color="auto"/>
      </w:divBdr>
      <w:divsChild>
        <w:div w:id="1514493139">
          <w:marLeft w:val="0"/>
          <w:marRight w:val="0"/>
          <w:marTop w:val="240"/>
          <w:marBottom w:val="240"/>
          <w:divBdr>
            <w:top w:val="none" w:sz="0" w:space="0" w:color="auto"/>
            <w:left w:val="none" w:sz="0" w:space="0" w:color="auto"/>
            <w:bottom w:val="none" w:sz="0" w:space="0" w:color="auto"/>
            <w:right w:val="none" w:sz="0" w:space="0" w:color="auto"/>
          </w:divBdr>
        </w:div>
      </w:divsChild>
    </w:div>
    <w:div w:id="647321827">
      <w:bodyDiv w:val="1"/>
      <w:marLeft w:val="0"/>
      <w:marRight w:val="0"/>
      <w:marTop w:val="0"/>
      <w:marBottom w:val="0"/>
      <w:divBdr>
        <w:top w:val="none" w:sz="0" w:space="0" w:color="auto"/>
        <w:left w:val="none" w:sz="0" w:space="0" w:color="auto"/>
        <w:bottom w:val="none" w:sz="0" w:space="0" w:color="auto"/>
        <w:right w:val="none" w:sz="0" w:space="0" w:color="auto"/>
      </w:divBdr>
    </w:div>
    <w:div w:id="688139104">
      <w:bodyDiv w:val="1"/>
      <w:marLeft w:val="0"/>
      <w:marRight w:val="0"/>
      <w:marTop w:val="0"/>
      <w:marBottom w:val="0"/>
      <w:divBdr>
        <w:top w:val="none" w:sz="0" w:space="0" w:color="auto"/>
        <w:left w:val="none" w:sz="0" w:space="0" w:color="auto"/>
        <w:bottom w:val="none" w:sz="0" w:space="0" w:color="auto"/>
        <w:right w:val="none" w:sz="0" w:space="0" w:color="auto"/>
      </w:divBdr>
    </w:div>
    <w:div w:id="731082665">
      <w:bodyDiv w:val="1"/>
      <w:marLeft w:val="0"/>
      <w:marRight w:val="0"/>
      <w:marTop w:val="0"/>
      <w:marBottom w:val="0"/>
      <w:divBdr>
        <w:top w:val="none" w:sz="0" w:space="0" w:color="auto"/>
        <w:left w:val="none" w:sz="0" w:space="0" w:color="auto"/>
        <w:bottom w:val="none" w:sz="0" w:space="0" w:color="auto"/>
        <w:right w:val="none" w:sz="0" w:space="0" w:color="auto"/>
      </w:divBdr>
    </w:div>
    <w:div w:id="732394450">
      <w:bodyDiv w:val="1"/>
      <w:marLeft w:val="0"/>
      <w:marRight w:val="0"/>
      <w:marTop w:val="0"/>
      <w:marBottom w:val="0"/>
      <w:divBdr>
        <w:top w:val="none" w:sz="0" w:space="0" w:color="auto"/>
        <w:left w:val="none" w:sz="0" w:space="0" w:color="auto"/>
        <w:bottom w:val="none" w:sz="0" w:space="0" w:color="auto"/>
        <w:right w:val="none" w:sz="0" w:space="0" w:color="auto"/>
      </w:divBdr>
    </w:div>
    <w:div w:id="793601200">
      <w:bodyDiv w:val="1"/>
      <w:marLeft w:val="0"/>
      <w:marRight w:val="0"/>
      <w:marTop w:val="0"/>
      <w:marBottom w:val="0"/>
      <w:divBdr>
        <w:top w:val="none" w:sz="0" w:space="0" w:color="auto"/>
        <w:left w:val="none" w:sz="0" w:space="0" w:color="auto"/>
        <w:bottom w:val="none" w:sz="0" w:space="0" w:color="auto"/>
        <w:right w:val="none" w:sz="0" w:space="0" w:color="auto"/>
      </w:divBdr>
    </w:div>
    <w:div w:id="882718525">
      <w:bodyDiv w:val="1"/>
      <w:marLeft w:val="0"/>
      <w:marRight w:val="0"/>
      <w:marTop w:val="0"/>
      <w:marBottom w:val="0"/>
      <w:divBdr>
        <w:top w:val="none" w:sz="0" w:space="0" w:color="auto"/>
        <w:left w:val="none" w:sz="0" w:space="0" w:color="auto"/>
        <w:bottom w:val="none" w:sz="0" w:space="0" w:color="auto"/>
        <w:right w:val="none" w:sz="0" w:space="0" w:color="auto"/>
      </w:divBdr>
    </w:div>
    <w:div w:id="949974149">
      <w:bodyDiv w:val="1"/>
      <w:marLeft w:val="0"/>
      <w:marRight w:val="0"/>
      <w:marTop w:val="0"/>
      <w:marBottom w:val="0"/>
      <w:divBdr>
        <w:top w:val="none" w:sz="0" w:space="0" w:color="auto"/>
        <w:left w:val="none" w:sz="0" w:space="0" w:color="auto"/>
        <w:bottom w:val="none" w:sz="0" w:space="0" w:color="auto"/>
        <w:right w:val="none" w:sz="0" w:space="0" w:color="auto"/>
      </w:divBdr>
    </w:div>
    <w:div w:id="982193469">
      <w:bodyDiv w:val="1"/>
      <w:marLeft w:val="0"/>
      <w:marRight w:val="0"/>
      <w:marTop w:val="0"/>
      <w:marBottom w:val="0"/>
      <w:divBdr>
        <w:top w:val="none" w:sz="0" w:space="0" w:color="auto"/>
        <w:left w:val="none" w:sz="0" w:space="0" w:color="auto"/>
        <w:bottom w:val="none" w:sz="0" w:space="0" w:color="auto"/>
        <w:right w:val="none" w:sz="0" w:space="0" w:color="auto"/>
      </w:divBdr>
    </w:div>
    <w:div w:id="1000617394">
      <w:bodyDiv w:val="1"/>
      <w:marLeft w:val="0"/>
      <w:marRight w:val="0"/>
      <w:marTop w:val="0"/>
      <w:marBottom w:val="0"/>
      <w:divBdr>
        <w:top w:val="none" w:sz="0" w:space="0" w:color="auto"/>
        <w:left w:val="none" w:sz="0" w:space="0" w:color="auto"/>
        <w:bottom w:val="none" w:sz="0" w:space="0" w:color="auto"/>
        <w:right w:val="none" w:sz="0" w:space="0" w:color="auto"/>
      </w:divBdr>
    </w:div>
    <w:div w:id="1004279034">
      <w:bodyDiv w:val="1"/>
      <w:marLeft w:val="0"/>
      <w:marRight w:val="0"/>
      <w:marTop w:val="0"/>
      <w:marBottom w:val="0"/>
      <w:divBdr>
        <w:top w:val="none" w:sz="0" w:space="0" w:color="auto"/>
        <w:left w:val="none" w:sz="0" w:space="0" w:color="auto"/>
        <w:bottom w:val="none" w:sz="0" w:space="0" w:color="auto"/>
        <w:right w:val="none" w:sz="0" w:space="0" w:color="auto"/>
      </w:divBdr>
    </w:div>
    <w:div w:id="1036925158">
      <w:bodyDiv w:val="1"/>
      <w:marLeft w:val="0"/>
      <w:marRight w:val="0"/>
      <w:marTop w:val="0"/>
      <w:marBottom w:val="0"/>
      <w:divBdr>
        <w:top w:val="none" w:sz="0" w:space="0" w:color="auto"/>
        <w:left w:val="none" w:sz="0" w:space="0" w:color="auto"/>
        <w:bottom w:val="none" w:sz="0" w:space="0" w:color="auto"/>
        <w:right w:val="none" w:sz="0" w:space="0" w:color="auto"/>
      </w:divBdr>
    </w:div>
    <w:div w:id="1041323973">
      <w:bodyDiv w:val="1"/>
      <w:marLeft w:val="0"/>
      <w:marRight w:val="0"/>
      <w:marTop w:val="0"/>
      <w:marBottom w:val="0"/>
      <w:divBdr>
        <w:top w:val="none" w:sz="0" w:space="0" w:color="auto"/>
        <w:left w:val="none" w:sz="0" w:space="0" w:color="auto"/>
        <w:bottom w:val="none" w:sz="0" w:space="0" w:color="auto"/>
        <w:right w:val="none" w:sz="0" w:space="0" w:color="auto"/>
      </w:divBdr>
    </w:div>
    <w:div w:id="1065759228">
      <w:bodyDiv w:val="1"/>
      <w:marLeft w:val="0"/>
      <w:marRight w:val="0"/>
      <w:marTop w:val="0"/>
      <w:marBottom w:val="0"/>
      <w:divBdr>
        <w:top w:val="none" w:sz="0" w:space="0" w:color="auto"/>
        <w:left w:val="none" w:sz="0" w:space="0" w:color="auto"/>
        <w:bottom w:val="none" w:sz="0" w:space="0" w:color="auto"/>
        <w:right w:val="none" w:sz="0" w:space="0" w:color="auto"/>
      </w:divBdr>
    </w:div>
    <w:div w:id="1065883710">
      <w:bodyDiv w:val="1"/>
      <w:marLeft w:val="0"/>
      <w:marRight w:val="0"/>
      <w:marTop w:val="0"/>
      <w:marBottom w:val="0"/>
      <w:divBdr>
        <w:top w:val="none" w:sz="0" w:space="0" w:color="auto"/>
        <w:left w:val="none" w:sz="0" w:space="0" w:color="auto"/>
        <w:bottom w:val="none" w:sz="0" w:space="0" w:color="auto"/>
        <w:right w:val="none" w:sz="0" w:space="0" w:color="auto"/>
      </w:divBdr>
    </w:div>
    <w:div w:id="1091125694">
      <w:bodyDiv w:val="1"/>
      <w:marLeft w:val="0"/>
      <w:marRight w:val="0"/>
      <w:marTop w:val="0"/>
      <w:marBottom w:val="0"/>
      <w:divBdr>
        <w:top w:val="none" w:sz="0" w:space="0" w:color="auto"/>
        <w:left w:val="none" w:sz="0" w:space="0" w:color="auto"/>
        <w:bottom w:val="none" w:sz="0" w:space="0" w:color="auto"/>
        <w:right w:val="none" w:sz="0" w:space="0" w:color="auto"/>
      </w:divBdr>
    </w:div>
    <w:div w:id="1092580580">
      <w:bodyDiv w:val="1"/>
      <w:marLeft w:val="0"/>
      <w:marRight w:val="0"/>
      <w:marTop w:val="0"/>
      <w:marBottom w:val="0"/>
      <w:divBdr>
        <w:top w:val="none" w:sz="0" w:space="0" w:color="auto"/>
        <w:left w:val="none" w:sz="0" w:space="0" w:color="auto"/>
        <w:bottom w:val="none" w:sz="0" w:space="0" w:color="auto"/>
        <w:right w:val="none" w:sz="0" w:space="0" w:color="auto"/>
      </w:divBdr>
      <w:divsChild>
        <w:div w:id="784036457">
          <w:marLeft w:val="0"/>
          <w:marRight w:val="0"/>
          <w:marTop w:val="240"/>
          <w:marBottom w:val="240"/>
          <w:divBdr>
            <w:top w:val="none" w:sz="0" w:space="0" w:color="auto"/>
            <w:left w:val="none" w:sz="0" w:space="0" w:color="auto"/>
            <w:bottom w:val="none" w:sz="0" w:space="0" w:color="auto"/>
            <w:right w:val="none" w:sz="0" w:space="0" w:color="auto"/>
          </w:divBdr>
        </w:div>
        <w:div w:id="1259758043">
          <w:marLeft w:val="0"/>
          <w:marRight w:val="0"/>
          <w:marTop w:val="0"/>
          <w:marBottom w:val="0"/>
          <w:divBdr>
            <w:top w:val="none" w:sz="0" w:space="0" w:color="auto"/>
            <w:left w:val="none" w:sz="0" w:space="0" w:color="auto"/>
            <w:bottom w:val="none" w:sz="0" w:space="0" w:color="auto"/>
            <w:right w:val="none" w:sz="0" w:space="0" w:color="auto"/>
          </w:divBdr>
        </w:div>
      </w:divsChild>
    </w:div>
    <w:div w:id="1127088681">
      <w:bodyDiv w:val="1"/>
      <w:marLeft w:val="0"/>
      <w:marRight w:val="0"/>
      <w:marTop w:val="0"/>
      <w:marBottom w:val="0"/>
      <w:divBdr>
        <w:top w:val="none" w:sz="0" w:space="0" w:color="auto"/>
        <w:left w:val="none" w:sz="0" w:space="0" w:color="auto"/>
        <w:bottom w:val="none" w:sz="0" w:space="0" w:color="auto"/>
        <w:right w:val="none" w:sz="0" w:space="0" w:color="auto"/>
      </w:divBdr>
    </w:div>
    <w:div w:id="1201632201">
      <w:bodyDiv w:val="1"/>
      <w:marLeft w:val="0"/>
      <w:marRight w:val="0"/>
      <w:marTop w:val="0"/>
      <w:marBottom w:val="0"/>
      <w:divBdr>
        <w:top w:val="none" w:sz="0" w:space="0" w:color="auto"/>
        <w:left w:val="none" w:sz="0" w:space="0" w:color="auto"/>
        <w:bottom w:val="none" w:sz="0" w:space="0" w:color="auto"/>
        <w:right w:val="none" w:sz="0" w:space="0" w:color="auto"/>
      </w:divBdr>
    </w:div>
    <w:div w:id="1223444771">
      <w:bodyDiv w:val="1"/>
      <w:marLeft w:val="0"/>
      <w:marRight w:val="0"/>
      <w:marTop w:val="0"/>
      <w:marBottom w:val="0"/>
      <w:divBdr>
        <w:top w:val="none" w:sz="0" w:space="0" w:color="auto"/>
        <w:left w:val="none" w:sz="0" w:space="0" w:color="auto"/>
        <w:bottom w:val="none" w:sz="0" w:space="0" w:color="auto"/>
        <w:right w:val="none" w:sz="0" w:space="0" w:color="auto"/>
      </w:divBdr>
    </w:div>
    <w:div w:id="1223760572">
      <w:bodyDiv w:val="1"/>
      <w:marLeft w:val="0"/>
      <w:marRight w:val="0"/>
      <w:marTop w:val="0"/>
      <w:marBottom w:val="0"/>
      <w:divBdr>
        <w:top w:val="none" w:sz="0" w:space="0" w:color="auto"/>
        <w:left w:val="none" w:sz="0" w:space="0" w:color="auto"/>
        <w:bottom w:val="none" w:sz="0" w:space="0" w:color="auto"/>
        <w:right w:val="none" w:sz="0" w:space="0" w:color="auto"/>
      </w:divBdr>
    </w:div>
    <w:div w:id="1277565118">
      <w:bodyDiv w:val="1"/>
      <w:marLeft w:val="0"/>
      <w:marRight w:val="0"/>
      <w:marTop w:val="0"/>
      <w:marBottom w:val="0"/>
      <w:divBdr>
        <w:top w:val="none" w:sz="0" w:space="0" w:color="auto"/>
        <w:left w:val="none" w:sz="0" w:space="0" w:color="auto"/>
        <w:bottom w:val="none" w:sz="0" w:space="0" w:color="auto"/>
        <w:right w:val="none" w:sz="0" w:space="0" w:color="auto"/>
      </w:divBdr>
    </w:div>
    <w:div w:id="1278873015">
      <w:bodyDiv w:val="1"/>
      <w:marLeft w:val="0"/>
      <w:marRight w:val="0"/>
      <w:marTop w:val="0"/>
      <w:marBottom w:val="0"/>
      <w:divBdr>
        <w:top w:val="none" w:sz="0" w:space="0" w:color="auto"/>
        <w:left w:val="none" w:sz="0" w:space="0" w:color="auto"/>
        <w:bottom w:val="none" w:sz="0" w:space="0" w:color="auto"/>
        <w:right w:val="none" w:sz="0" w:space="0" w:color="auto"/>
      </w:divBdr>
    </w:div>
    <w:div w:id="1286735511">
      <w:bodyDiv w:val="1"/>
      <w:marLeft w:val="0"/>
      <w:marRight w:val="0"/>
      <w:marTop w:val="0"/>
      <w:marBottom w:val="0"/>
      <w:divBdr>
        <w:top w:val="none" w:sz="0" w:space="0" w:color="auto"/>
        <w:left w:val="none" w:sz="0" w:space="0" w:color="auto"/>
        <w:bottom w:val="none" w:sz="0" w:space="0" w:color="auto"/>
        <w:right w:val="none" w:sz="0" w:space="0" w:color="auto"/>
      </w:divBdr>
    </w:div>
    <w:div w:id="1300574519">
      <w:bodyDiv w:val="1"/>
      <w:marLeft w:val="0"/>
      <w:marRight w:val="0"/>
      <w:marTop w:val="0"/>
      <w:marBottom w:val="0"/>
      <w:divBdr>
        <w:top w:val="none" w:sz="0" w:space="0" w:color="auto"/>
        <w:left w:val="none" w:sz="0" w:space="0" w:color="auto"/>
        <w:bottom w:val="none" w:sz="0" w:space="0" w:color="auto"/>
        <w:right w:val="none" w:sz="0" w:space="0" w:color="auto"/>
      </w:divBdr>
    </w:div>
    <w:div w:id="1329017019">
      <w:bodyDiv w:val="1"/>
      <w:marLeft w:val="0"/>
      <w:marRight w:val="0"/>
      <w:marTop w:val="0"/>
      <w:marBottom w:val="0"/>
      <w:divBdr>
        <w:top w:val="none" w:sz="0" w:space="0" w:color="auto"/>
        <w:left w:val="none" w:sz="0" w:space="0" w:color="auto"/>
        <w:bottom w:val="none" w:sz="0" w:space="0" w:color="auto"/>
        <w:right w:val="none" w:sz="0" w:space="0" w:color="auto"/>
      </w:divBdr>
    </w:div>
    <w:div w:id="1346245423">
      <w:bodyDiv w:val="1"/>
      <w:marLeft w:val="0"/>
      <w:marRight w:val="0"/>
      <w:marTop w:val="0"/>
      <w:marBottom w:val="0"/>
      <w:divBdr>
        <w:top w:val="none" w:sz="0" w:space="0" w:color="auto"/>
        <w:left w:val="none" w:sz="0" w:space="0" w:color="auto"/>
        <w:bottom w:val="none" w:sz="0" w:space="0" w:color="auto"/>
        <w:right w:val="none" w:sz="0" w:space="0" w:color="auto"/>
      </w:divBdr>
    </w:div>
    <w:div w:id="1359310845">
      <w:bodyDiv w:val="1"/>
      <w:marLeft w:val="0"/>
      <w:marRight w:val="0"/>
      <w:marTop w:val="0"/>
      <w:marBottom w:val="0"/>
      <w:divBdr>
        <w:top w:val="none" w:sz="0" w:space="0" w:color="auto"/>
        <w:left w:val="none" w:sz="0" w:space="0" w:color="auto"/>
        <w:bottom w:val="none" w:sz="0" w:space="0" w:color="auto"/>
        <w:right w:val="none" w:sz="0" w:space="0" w:color="auto"/>
      </w:divBdr>
    </w:div>
    <w:div w:id="1387879466">
      <w:bodyDiv w:val="1"/>
      <w:marLeft w:val="0"/>
      <w:marRight w:val="0"/>
      <w:marTop w:val="0"/>
      <w:marBottom w:val="0"/>
      <w:divBdr>
        <w:top w:val="none" w:sz="0" w:space="0" w:color="auto"/>
        <w:left w:val="none" w:sz="0" w:space="0" w:color="auto"/>
        <w:bottom w:val="none" w:sz="0" w:space="0" w:color="auto"/>
        <w:right w:val="none" w:sz="0" w:space="0" w:color="auto"/>
      </w:divBdr>
    </w:div>
    <w:div w:id="1388067986">
      <w:bodyDiv w:val="1"/>
      <w:marLeft w:val="0"/>
      <w:marRight w:val="0"/>
      <w:marTop w:val="0"/>
      <w:marBottom w:val="0"/>
      <w:divBdr>
        <w:top w:val="none" w:sz="0" w:space="0" w:color="auto"/>
        <w:left w:val="none" w:sz="0" w:space="0" w:color="auto"/>
        <w:bottom w:val="none" w:sz="0" w:space="0" w:color="auto"/>
        <w:right w:val="none" w:sz="0" w:space="0" w:color="auto"/>
      </w:divBdr>
    </w:div>
    <w:div w:id="1461143333">
      <w:bodyDiv w:val="1"/>
      <w:marLeft w:val="0"/>
      <w:marRight w:val="0"/>
      <w:marTop w:val="0"/>
      <w:marBottom w:val="0"/>
      <w:divBdr>
        <w:top w:val="none" w:sz="0" w:space="0" w:color="auto"/>
        <w:left w:val="none" w:sz="0" w:space="0" w:color="auto"/>
        <w:bottom w:val="none" w:sz="0" w:space="0" w:color="auto"/>
        <w:right w:val="none" w:sz="0" w:space="0" w:color="auto"/>
      </w:divBdr>
    </w:div>
    <w:div w:id="1465467407">
      <w:bodyDiv w:val="1"/>
      <w:marLeft w:val="0"/>
      <w:marRight w:val="0"/>
      <w:marTop w:val="0"/>
      <w:marBottom w:val="0"/>
      <w:divBdr>
        <w:top w:val="none" w:sz="0" w:space="0" w:color="auto"/>
        <w:left w:val="none" w:sz="0" w:space="0" w:color="auto"/>
        <w:bottom w:val="none" w:sz="0" w:space="0" w:color="auto"/>
        <w:right w:val="none" w:sz="0" w:space="0" w:color="auto"/>
      </w:divBdr>
    </w:div>
    <w:div w:id="1477262986">
      <w:bodyDiv w:val="1"/>
      <w:marLeft w:val="0"/>
      <w:marRight w:val="0"/>
      <w:marTop w:val="0"/>
      <w:marBottom w:val="0"/>
      <w:divBdr>
        <w:top w:val="none" w:sz="0" w:space="0" w:color="auto"/>
        <w:left w:val="none" w:sz="0" w:space="0" w:color="auto"/>
        <w:bottom w:val="none" w:sz="0" w:space="0" w:color="auto"/>
        <w:right w:val="none" w:sz="0" w:space="0" w:color="auto"/>
      </w:divBdr>
    </w:div>
    <w:div w:id="1481848547">
      <w:bodyDiv w:val="1"/>
      <w:marLeft w:val="0"/>
      <w:marRight w:val="0"/>
      <w:marTop w:val="0"/>
      <w:marBottom w:val="0"/>
      <w:divBdr>
        <w:top w:val="none" w:sz="0" w:space="0" w:color="auto"/>
        <w:left w:val="none" w:sz="0" w:space="0" w:color="auto"/>
        <w:bottom w:val="none" w:sz="0" w:space="0" w:color="auto"/>
        <w:right w:val="none" w:sz="0" w:space="0" w:color="auto"/>
      </w:divBdr>
    </w:div>
    <w:div w:id="1513226750">
      <w:bodyDiv w:val="1"/>
      <w:marLeft w:val="0"/>
      <w:marRight w:val="0"/>
      <w:marTop w:val="0"/>
      <w:marBottom w:val="0"/>
      <w:divBdr>
        <w:top w:val="none" w:sz="0" w:space="0" w:color="auto"/>
        <w:left w:val="none" w:sz="0" w:space="0" w:color="auto"/>
        <w:bottom w:val="none" w:sz="0" w:space="0" w:color="auto"/>
        <w:right w:val="none" w:sz="0" w:space="0" w:color="auto"/>
      </w:divBdr>
    </w:div>
    <w:div w:id="1532186483">
      <w:bodyDiv w:val="1"/>
      <w:marLeft w:val="0"/>
      <w:marRight w:val="0"/>
      <w:marTop w:val="0"/>
      <w:marBottom w:val="0"/>
      <w:divBdr>
        <w:top w:val="none" w:sz="0" w:space="0" w:color="auto"/>
        <w:left w:val="none" w:sz="0" w:space="0" w:color="auto"/>
        <w:bottom w:val="none" w:sz="0" w:space="0" w:color="auto"/>
        <w:right w:val="none" w:sz="0" w:space="0" w:color="auto"/>
      </w:divBdr>
    </w:div>
    <w:div w:id="1578399779">
      <w:bodyDiv w:val="1"/>
      <w:marLeft w:val="0"/>
      <w:marRight w:val="0"/>
      <w:marTop w:val="0"/>
      <w:marBottom w:val="0"/>
      <w:divBdr>
        <w:top w:val="none" w:sz="0" w:space="0" w:color="auto"/>
        <w:left w:val="none" w:sz="0" w:space="0" w:color="auto"/>
        <w:bottom w:val="none" w:sz="0" w:space="0" w:color="auto"/>
        <w:right w:val="none" w:sz="0" w:space="0" w:color="auto"/>
      </w:divBdr>
    </w:div>
    <w:div w:id="1597060333">
      <w:bodyDiv w:val="1"/>
      <w:marLeft w:val="0"/>
      <w:marRight w:val="0"/>
      <w:marTop w:val="0"/>
      <w:marBottom w:val="0"/>
      <w:divBdr>
        <w:top w:val="none" w:sz="0" w:space="0" w:color="auto"/>
        <w:left w:val="none" w:sz="0" w:space="0" w:color="auto"/>
        <w:bottom w:val="none" w:sz="0" w:space="0" w:color="auto"/>
        <w:right w:val="none" w:sz="0" w:space="0" w:color="auto"/>
      </w:divBdr>
    </w:div>
    <w:div w:id="1649095075">
      <w:bodyDiv w:val="1"/>
      <w:marLeft w:val="0"/>
      <w:marRight w:val="0"/>
      <w:marTop w:val="0"/>
      <w:marBottom w:val="0"/>
      <w:divBdr>
        <w:top w:val="none" w:sz="0" w:space="0" w:color="auto"/>
        <w:left w:val="none" w:sz="0" w:space="0" w:color="auto"/>
        <w:bottom w:val="none" w:sz="0" w:space="0" w:color="auto"/>
        <w:right w:val="none" w:sz="0" w:space="0" w:color="auto"/>
      </w:divBdr>
    </w:div>
    <w:div w:id="1661618034">
      <w:bodyDiv w:val="1"/>
      <w:marLeft w:val="0"/>
      <w:marRight w:val="0"/>
      <w:marTop w:val="0"/>
      <w:marBottom w:val="0"/>
      <w:divBdr>
        <w:top w:val="none" w:sz="0" w:space="0" w:color="auto"/>
        <w:left w:val="none" w:sz="0" w:space="0" w:color="auto"/>
        <w:bottom w:val="none" w:sz="0" w:space="0" w:color="auto"/>
        <w:right w:val="none" w:sz="0" w:space="0" w:color="auto"/>
      </w:divBdr>
    </w:div>
    <w:div w:id="1721437807">
      <w:bodyDiv w:val="1"/>
      <w:marLeft w:val="0"/>
      <w:marRight w:val="0"/>
      <w:marTop w:val="0"/>
      <w:marBottom w:val="0"/>
      <w:divBdr>
        <w:top w:val="none" w:sz="0" w:space="0" w:color="auto"/>
        <w:left w:val="none" w:sz="0" w:space="0" w:color="auto"/>
        <w:bottom w:val="none" w:sz="0" w:space="0" w:color="auto"/>
        <w:right w:val="none" w:sz="0" w:space="0" w:color="auto"/>
      </w:divBdr>
    </w:div>
    <w:div w:id="1740515204">
      <w:bodyDiv w:val="1"/>
      <w:marLeft w:val="0"/>
      <w:marRight w:val="0"/>
      <w:marTop w:val="0"/>
      <w:marBottom w:val="0"/>
      <w:divBdr>
        <w:top w:val="none" w:sz="0" w:space="0" w:color="auto"/>
        <w:left w:val="none" w:sz="0" w:space="0" w:color="auto"/>
        <w:bottom w:val="none" w:sz="0" w:space="0" w:color="auto"/>
        <w:right w:val="none" w:sz="0" w:space="0" w:color="auto"/>
      </w:divBdr>
    </w:div>
    <w:div w:id="1773087758">
      <w:bodyDiv w:val="1"/>
      <w:marLeft w:val="0"/>
      <w:marRight w:val="0"/>
      <w:marTop w:val="0"/>
      <w:marBottom w:val="0"/>
      <w:divBdr>
        <w:top w:val="none" w:sz="0" w:space="0" w:color="auto"/>
        <w:left w:val="none" w:sz="0" w:space="0" w:color="auto"/>
        <w:bottom w:val="none" w:sz="0" w:space="0" w:color="auto"/>
        <w:right w:val="none" w:sz="0" w:space="0" w:color="auto"/>
      </w:divBdr>
      <w:divsChild>
        <w:div w:id="615256609">
          <w:marLeft w:val="0"/>
          <w:marRight w:val="0"/>
          <w:marTop w:val="240"/>
          <w:marBottom w:val="240"/>
          <w:divBdr>
            <w:top w:val="none" w:sz="0" w:space="0" w:color="auto"/>
            <w:left w:val="none" w:sz="0" w:space="0" w:color="auto"/>
            <w:bottom w:val="none" w:sz="0" w:space="0" w:color="auto"/>
            <w:right w:val="none" w:sz="0" w:space="0" w:color="auto"/>
          </w:divBdr>
        </w:div>
      </w:divsChild>
    </w:div>
    <w:div w:id="1796286279">
      <w:bodyDiv w:val="1"/>
      <w:marLeft w:val="0"/>
      <w:marRight w:val="0"/>
      <w:marTop w:val="0"/>
      <w:marBottom w:val="0"/>
      <w:divBdr>
        <w:top w:val="none" w:sz="0" w:space="0" w:color="auto"/>
        <w:left w:val="none" w:sz="0" w:space="0" w:color="auto"/>
        <w:bottom w:val="none" w:sz="0" w:space="0" w:color="auto"/>
        <w:right w:val="none" w:sz="0" w:space="0" w:color="auto"/>
      </w:divBdr>
    </w:div>
    <w:div w:id="1851335990">
      <w:bodyDiv w:val="1"/>
      <w:marLeft w:val="0"/>
      <w:marRight w:val="0"/>
      <w:marTop w:val="0"/>
      <w:marBottom w:val="0"/>
      <w:divBdr>
        <w:top w:val="none" w:sz="0" w:space="0" w:color="auto"/>
        <w:left w:val="none" w:sz="0" w:space="0" w:color="auto"/>
        <w:bottom w:val="none" w:sz="0" w:space="0" w:color="auto"/>
        <w:right w:val="none" w:sz="0" w:space="0" w:color="auto"/>
      </w:divBdr>
    </w:div>
    <w:div w:id="2017689365">
      <w:bodyDiv w:val="1"/>
      <w:marLeft w:val="0"/>
      <w:marRight w:val="0"/>
      <w:marTop w:val="0"/>
      <w:marBottom w:val="0"/>
      <w:divBdr>
        <w:top w:val="none" w:sz="0" w:space="0" w:color="auto"/>
        <w:left w:val="none" w:sz="0" w:space="0" w:color="auto"/>
        <w:bottom w:val="none" w:sz="0" w:space="0" w:color="auto"/>
        <w:right w:val="none" w:sz="0" w:space="0" w:color="auto"/>
      </w:divBdr>
    </w:div>
    <w:div w:id="2105758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C13AAD-267B-4CD8-A782-C7D2C971EE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2819</Words>
  <Characters>16069</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University Western Australia</Company>
  <LinksUpToDate>false</LinksUpToDate>
  <CharactersWithSpaces>18851</CharactersWithSpaces>
  <SharedDoc>false</SharedDoc>
  <HLinks>
    <vt:vector size="30" baseType="variant">
      <vt:variant>
        <vt:i4>2031669</vt:i4>
      </vt:variant>
      <vt:variant>
        <vt:i4>26</vt:i4>
      </vt:variant>
      <vt:variant>
        <vt:i4>0</vt:i4>
      </vt:variant>
      <vt:variant>
        <vt:i4>5</vt:i4>
      </vt:variant>
      <vt:variant>
        <vt:lpwstr/>
      </vt:variant>
      <vt:variant>
        <vt:lpwstr>_Toc55490246</vt:lpwstr>
      </vt:variant>
      <vt:variant>
        <vt:i4>1835061</vt:i4>
      </vt:variant>
      <vt:variant>
        <vt:i4>20</vt:i4>
      </vt:variant>
      <vt:variant>
        <vt:i4>0</vt:i4>
      </vt:variant>
      <vt:variant>
        <vt:i4>5</vt:i4>
      </vt:variant>
      <vt:variant>
        <vt:lpwstr/>
      </vt:variant>
      <vt:variant>
        <vt:lpwstr>_Toc55490245</vt:lpwstr>
      </vt:variant>
      <vt:variant>
        <vt:i4>1900597</vt:i4>
      </vt:variant>
      <vt:variant>
        <vt:i4>14</vt:i4>
      </vt:variant>
      <vt:variant>
        <vt:i4>0</vt:i4>
      </vt:variant>
      <vt:variant>
        <vt:i4>5</vt:i4>
      </vt:variant>
      <vt:variant>
        <vt:lpwstr/>
      </vt:variant>
      <vt:variant>
        <vt:lpwstr>_Toc55490244</vt:lpwstr>
      </vt:variant>
      <vt:variant>
        <vt:i4>1703989</vt:i4>
      </vt:variant>
      <vt:variant>
        <vt:i4>8</vt:i4>
      </vt:variant>
      <vt:variant>
        <vt:i4>0</vt:i4>
      </vt:variant>
      <vt:variant>
        <vt:i4>5</vt:i4>
      </vt:variant>
      <vt:variant>
        <vt:lpwstr/>
      </vt:variant>
      <vt:variant>
        <vt:lpwstr>_Toc55490243</vt:lpwstr>
      </vt:variant>
      <vt:variant>
        <vt:i4>1769525</vt:i4>
      </vt:variant>
      <vt:variant>
        <vt:i4>2</vt:i4>
      </vt:variant>
      <vt:variant>
        <vt:i4>0</vt:i4>
      </vt:variant>
      <vt:variant>
        <vt:i4>5</vt:i4>
      </vt:variant>
      <vt:variant>
        <vt:lpwstr/>
      </vt:variant>
      <vt:variant>
        <vt:lpwstr>_Toc55490242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McMahon</dc:creator>
  <cp:keywords/>
  <dc:description/>
  <cp:lastModifiedBy>Gwion Moore</cp:lastModifiedBy>
  <cp:revision>2</cp:revision>
  <cp:lastPrinted>2024-05-01T01:06:00Z</cp:lastPrinted>
  <dcterms:created xsi:type="dcterms:W3CDTF">2025-05-28T06:14:00Z</dcterms:created>
  <dcterms:modified xsi:type="dcterms:W3CDTF">2025-05-28T06:14:00Z</dcterms:modified>
</cp:coreProperties>
</file>