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EBA0" w14:textId="0C7F2A58" w:rsidR="00314F89" w:rsidRDefault="00314F89" w:rsidP="00FA6D95">
      <w:pPr>
        <w:rPr>
          <w:rFonts w:ascii="Arial" w:hAnsi="Arial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CACFCAD" wp14:editId="05883BDA">
            <wp:simplePos x="0" y="0"/>
            <wp:positionH relativeFrom="margin">
              <wp:posOffset>0</wp:posOffset>
            </wp:positionH>
            <wp:positionV relativeFrom="paragraph">
              <wp:posOffset>481</wp:posOffset>
            </wp:positionV>
            <wp:extent cx="1263015" cy="414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A-Full-Hor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8627" w14:textId="0339062B" w:rsidR="00314F89" w:rsidRPr="00522C68" w:rsidRDefault="00314F89" w:rsidP="00314F89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UNIVERSITY EDUCATION COMMITTEE </w:t>
      </w:r>
      <w:r w:rsidRPr="00522C68">
        <w:rPr>
          <w:rFonts w:ascii="Arial" w:hAnsi="Arial"/>
          <w:b/>
        </w:rPr>
        <w:t>CONSTITUTION</w:t>
      </w:r>
    </w:p>
    <w:p w14:paraId="5A0D46C1" w14:textId="199EF04E" w:rsidR="00314F89" w:rsidRPr="00522C68" w:rsidRDefault="00314F89" w:rsidP="00314F89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E76C8C">
        <w:rPr>
          <w:rFonts w:ascii="Arial" w:hAnsi="Arial"/>
          <w:b/>
        </w:rPr>
        <w:t xml:space="preserve">AS AT </w:t>
      </w:r>
      <w:r w:rsidR="00336DE9">
        <w:rPr>
          <w:rFonts w:ascii="Arial" w:hAnsi="Arial"/>
          <w:b/>
        </w:rPr>
        <w:t xml:space="preserve">21 September </w:t>
      </w:r>
      <w:r>
        <w:rPr>
          <w:rFonts w:ascii="Arial" w:hAnsi="Arial"/>
          <w:b/>
        </w:rPr>
        <w:t>202</w:t>
      </w:r>
      <w:r w:rsidR="00336DE9">
        <w:rPr>
          <w:rFonts w:ascii="Arial" w:hAnsi="Arial"/>
          <w:b/>
        </w:rPr>
        <w:t>2</w:t>
      </w:r>
    </w:p>
    <w:p w14:paraId="1BC335E9" w14:textId="46B70B34" w:rsidR="00C2318A" w:rsidRPr="00FA6D95" w:rsidRDefault="00C2318A" w:rsidP="00FA6D95">
      <w:pPr>
        <w:pStyle w:val="Default"/>
        <w:rPr>
          <w:sz w:val="20"/>
          <w:szCs w:val="20"/>
        </w:rPr>
      </w:pPr>
    </w:p>
    <w:p w14:paraId="2AF7F693" w14:textId="04F9E498" w:rsidR="00787069" w:rsidRPr="00DB51AF" w:rsidRDefault="00787069" w:rsidP="00FA6D95">
      <w:pPr>
        <w:rPr>
          <w:rFonts w:ascii="Arial" w:hAnsi="Arial"/>
          <w:b/>
          <w:bCs/>
          <w:sz w:val="18"/>
          <w:szCs w:val="18"/>
        </w:rPr>
      </w:pPr>
      <w:r w:rsidRPr="00DB51AF">
        <w:rPr>
          <w:rFonts w:ascii="Arial" w:hAnsi="Arial"/>
          <w:b/>
          <w:bCs/>
          <w:sz w:val="18"/>
          <w:szCs w:val="18"/>
        </w:rPr>
        <w:t xml:space="preserve">Governance </w:t>
      </w:r>
    </w:p>
    <w:p w14:paraId="05BB3CF6" w14:textId="77777777" w:rsidR="00DB51AF" w:rsidRDefault="00DB51AF" w:rsidP="00FA6D95">
      <w:pPr>
        <w:rPr>
          <w:rFonts w:ascii="Arial" w:hAnsi="Arial"/>
          <w:bCs/>
        </w:rPr>
      </w:pPr>
    </w:p>
    <w:p w14:paraId="7B1E5323" w14:textId="07183618" w:rsidR="00787069" w:rsidRPr="00DB51AF" w:rsidRDefault="00E22045" w:rsidP="00FA6D9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University Education</w:t>
      </w:r>
      <w:r w:rsidR="00054036">
        <w:rPr>
          <w:rFonts w:ascii="Arial" w:hAnsi="Arial"/>
          <w:b/>
          <w:bCs/>
          <w:sz w:val="24"/>
          <w:szCs w:val="24"/>
        </w:rPr>
        <w:t xml:space="preserve"> </w:t>
      </w:r>
      <w:r w:rsidR="00787069" w:rsidRPr="00DB51AF">
        <w:rPr>
          <w:rFonts w:ascii="Arial" w:hAnsi="Arial"/>
          <w:b/>
          <w:bCs/>
          <w:sz w:val="24"/>
          <w:szCs w:val="24"/>
        </w:rPr>
        <w:t xml:space="preserve">Committee </w:t>
      </w:r>
    </w:p>
    <w:p w14:paraId="55685CE3" w14:textId="77777777" w:rsidR="00DB51AF" w:rsidRDefault="00DB51AF" w:rsidP="00FA6D95">
      <w:pPr>
        <w:rPr>
          <w:rFonts w:ascii="Arial" w:hAnsi="Arial"/>
          <w:bCs/>
        </w:rPr>
      </w:pPr>
    </w:p>
    <w:p w14:paraId="1FC059BE" w14:textId="6FD78B25" w:rsidR="00787069" w:rsidRPr="00DB51AF" w:rsidRDefault="00DB51AF" w:rsidP="00FA6D95">
      <w:pPr>
        <w:rPr>
          <w:rFonts w:ascii="Arial" w:hAnsi="Arial"/>
          <w:b/>
          <w:bCs/>
        </w:rPr>
      </w:pPr>
      <w:r w:rsidRPr="00DB51AF">
        <w:rPr>
          <w:rFonts w:ascii="Arial" w:hAnsi="Arial"/>
          <w:b/>
          <w:bCs/>
        </w:rPr>
        <w:t>The C</w:t>
      </w:r>
      <w:r w:rsidR="00787069" w:rsidRPr="00DB51AF">
        <w:rPr>
          <w:rFonts w:ascii="Arial" w:hAnsi="Arial"/>
          <w:b/>
          <w:bCs/>
        </w:rPr>
        <w:t xml:space="preserve">onstitution of the </w:t>
      </w:r>
      <w:r w:rsidR="00E22045">
        <w:rPr>
          <w:rFonts w:ascii="Arial" w:hAnsi="Arial"/>
          <w:b/>
          <w:bCs/>
        </w:rPr>
        <w:t>University Education</w:t>
      </w:r>
      <w:r w:rsidR="00054036">
        <w:rPr>
          <w:rFonts w:ascii="Arial" w:hAnsi="Arial"/>
          <w:b/>
          <w:bCs/>
        </w:rPr>
        <w:t xml:space="preserve"> </w:t>
      </w:r>
      <w:r w:rsidR="00787069" w:rsidRPr="00DB51AF">
        <w:rPr>
          <w:rFonts w:ascii="Arial" w:hAnsi="Arial"/>
          <w:b/>
          <w:bCs/>
        </w:rPr>
        <w:t xml:space="preserve">Committee. </w:t>
      </w:r>
    </w:p>
    <w:p w14:paraId="313F895E" w14:textId="77777777" w:rsidR="00DB51AF" w:rsidRDefault="00DB51AF" w:rsidP="00FA6D95">
      <w:pPr>
        <w:rPr>
          <w:rFonts w:ascii="Arial" w:hAnsi="Arial"/>
          <w:bCs/>
        </w:rPr>
      </w:pPr>
    </w:p>
    <w:p w14:paraId="6D85AF97" w14:textId="77777777" w:rsidR="00787069" w:rsidRPr="00FA6D95" w:rsidRDefault="00787069" w:rsidP="00FA6D95">
      <w:pPr>
        <w:rPr>
          <w:rFonts w:ascii="Arial" w:hAnsi="Arial"/>
          <w:bCs/>
        </w:rPr>
      </w:pPr>
      <w:r w:rsidRPr="00FA6D95">
        <w:rPr>
          <w:rFonts w:ascii="Arial" w:hAnsi="Arial"/>
          <w:bCs/>
        </w:rPr>
        <w:t xml:space="preserve">This </w:t>
      </w:r>
      <w:r w:rsidR="00E720AF">
        <w:rPr>
          <w:rFonts w:ascii="Arial" w:hAnsi="Arial"/>
          <w:bCs/>
        </w:rPr>
        <w:t>c</w:t>
      </w:r>
      <w:r w:rsidRPr="00FA6D95">
        <w:rPr>
          <w:rFonts w:ascii="Arial" w:hAnsi="Arial"/>
          <w:bCs/>
        </w:rPr>
        <w:t xml:space="preserve">ommittee operates in accordance with the </w:t>
      </w:r>
      <w:hyperlink r:id="rId12" w:history="1">
        <w:r w:rsidRPr="00DB51AF">
          <w:rPr>
            <w:rStyle w:val="Hyperlink"/>
            <w:bCs/>
          </w:rPr>
          <w:t>UWA Principles for the Operation of Committee</w:t>
        </w:r>
        <w:r w:rsidR="00DB51AF" w:rsidRPr="00DB51AF">
          <w:rPr>
            <w:rStyle w:val="Hyperlink"/>
            <w:bCs/>
          </w:rPr>
          <w:t>s</w:t>
        </w:r>
      </w:hyperlink>
      <w:r w:rsidRPr="00FA6D95">
        <w:rPr>
          <w:rFonts w:ascii="Arial" w:hAnsi="Arial"/>
          <w:bCs/>
        </w:rPr>
        <w:t xml:space="preserve"> and </w:t>
      </w:r>
      <w:hyperlink r:id="rId13" w:history="1">
        <w:r w:rsidRPr="0037299E">
          <w:rPr>
            <w:rStyle w:val="Hyperlink"/>
            <w:bCs/>
          </w:rPr>
          <w:t xml:space="preserve">UWA Rules for the </w:t>
        </w:r>
        <w:r w:rsidR="00DA4412" w:rsidRPr="0037299E">
          <w:rPr>
            <w:rStyle w:val="Hyperlink"/>
            <w:bCs/>
          </w:rPr>
          <w:t>O</w:t>
        </w:r>
        <w:r w:rsidRPr="0037299E">
          <w:rPr>
            <w:rStyle w:val="Hyperlink"/>
            <w:bCs/>
          </w:rPr>
          <w:t xml:space="preserve">peration of </w:t>
        </w:r>
        <w:r w:rsidR="00DA4412" w:rsidRPr="0037299E">
          <w:rPr>
            <w:rStyle w:val="Hyperlink"/>
            <w:bCs/>
          </w:rPr>
          <w:t>C</w:t>
        </w:r>
        <w:r w:rsidRPr="0037299E">
          <w:rPr>
            <w:rStyle w:val="Hyperlink"/>
            <w:bCs/>
          </w:rPr>
          <w:t>ommittees</w:t>
        </w:r>
      </w:hyperlink>
      <w:r w:rsidRPr="00FA6D95">
        <w:rPr>
          <w:rFonts w:ascii="Arial" w:hAnsi="Arial"/>
          <w:bCs/>
        </w:rPr>
        <w:t xml:space="preserve">. </w:t>
      </w:r>
      <w:r w:rsidR="0037299E">
        <w:rPr>
          <w:rFonts w:ascii="Arial" w:hAnsi="Arial"/>
          <w:bCs/>
        </w:rPr>
        <w:t xml:space="preserve"> </w:t>
      </w:r>
      <w:r w:rsidRPr="00FA6D95">
        <w:rPr>
          <w:rFonts w:ascii="Arial" w:hAnsi="Arial"/>
          <w:bCs/>
        </w:rPr>
        <w:t xml:space="preserve">Members must act in accordance with the </w:t>
      </w:r>
      <w:hyperlink r:id="rId14" w:history="1">
        <w:r w:rsidRPr="0037299E">
          <w:rPr>
            <w:rStyle w:val="Hyperlink"/>
            <w:bCs/>
          </w:rPr>
          <w:t>University Committee Members' Code of Conduct</w:t>
        </w:r>
      </w:hyperlink>
      <w:r w:rsidRPr="00FA6D95">
        <w:rPr>
          <w:rFonts w:ascii="Arial" w:hAnsi="Arial"/>
          <w:bCs/>
        </w:rPr>
        <w:t xml:space="preserve">. </w:t>
      </w:r>
    </w:p>
    <w:p w14:paraId="3CAE28E5" w14:textId="77777777" w:rsidR="00DB51AF" w:rsidRDefault="00DB51AF" w:rsidP="00FA6D95">
      <w:pPr>
        <w:rPr>
          <w:rFonts w:ascii="Arial" w:hAnsi="Arial"/>
          <w:bCs/>
        </w:rPr>
      </w:pPr>
    </w:p>
    <w:p w14:paraId="15F373C4" w14:textId="77777777" w:rsidR="00787069" w:rsidRPr="00FA6D95" w:rsidRDefault="00787069" w:rsidP="00FA6D95">
      <w:pPr>
        <w:rPr>
          <w:rFonts w:ascii="Arial" w:hAnsi="Arial"/>
          <w:bCs/>
          <w:lang w:val="en"/>
        </w:rPr>
      </w:pPr>
    </w:p>
    <w:p w14:paraId="37ACF63A" w14:textId="77777777" w:rsidR="00787069" w:rsidRPr="002916F1" w:rsidRDefault="00787069" w:rsidP="00FA6D95">
      <w:pPr>
        <w:rPr>
          <w:rFonts w:ascii="Arial" w:hAnsi="Arial"/>
          <w:b/>
          <w:bCs/>
          <w:sz w:val="24"/>
          <w:szCs w:val="24"/>
          <w:lang w:val="en"/>
        </w:rPr>
      </w:pPr>
      <w:r w:rsidRPr="002916F1">
        <w:rPr>
          <w:rFonts w:ascii="Arial" w:hAnsi="Arial"/>
          <w:b/>
          <w:bCs/>
          <w:sz w:val="24"/>
          <w:szCs w:val="24"/>
          <w:lang w:val="en"/>
        </w:rPr>
        <w:t>Constitution</w:t>
      </w:r>
    </w:p>
    <w:p w14:paraId="016EE89D" w14:textId="77777777" w:rsidR="00787069" w:rsidRDefault="00787069" w:rsidP="00FA6D95">
      <w:pPr>
        <w:rPr>
          <w:rFonts w:ascii="Arial" w:hAnsi="Arial"/>
          <w:bCs/>
          <w:lang w:val="en"/>
        </w:rPr>
      </w:pPr>
    </w:p>
    <w:p w14:paraId="16DE84D6" w14:textId="6C2E69DC" w:rsidR="00C67B9E" w:rsidRPr="0059489D" w:rsidRDefault="00C67B9E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59489D">
        <w:rPr>
          <w:rFonts w:ascii="Arial" w:hAnsi="Arial"/>
          <w:b/>
          <w:bCs/>
          <w:lang w:val="en"/>
        </w:rPr>
        <w:t xml:space="preserve">Committee of the </w:t>
      </w:r>
      <w:r w:rsidR="0085601B">
        <w:rPr>
          <w:rFonts w:ascii="Arial" w:hAnsi="Arial"/>
          <w:b/>
          <w:bCs/>
          <w:lang w:val="en"/>
        </w:rPr>
        <w:t>Academic Board</w:t>
      </w:r>
    </w:p>
    <w:p w14:paraId="719AC940" w14:textId="77777777" w:rsidR="00C67B9E" w:rsidRPr="00FA6D95" w:rsidRDefault="00C67B9E" w:rsidP="000D7D9F">
      <w:pPr>
        <w:ind w:left="567"/>
        <w:rPr>
          <w:rFonts w:ascii="Arial" w:hAnsi="Arial"/>
          <w:bCs/>
          <w:lang w:val="en"/>
        </w:rPr>
      </w:pPr>
    </w:p>
    <w:p w14:paraId="5A279AD7" w14:textId="05B1DDE0" w:rsidR="00787069" w:rsidRPr="00C67B9E" w:rsidRDefault="00787069" w:rsidP="000D7D9F">
      <w:pPr>
        <w:ind w:left="567"/>
        <w:rPr>
          <w:rFonts w:ascii="Arial" w:hAnsi="Arial"/>
          <w:bCs/>
          <w:lang w:val="en"/>
        </w:rPr>
      </w:pPr>
      <w:r w:rsidRPr="00C67B9E">
        <w:rPr>
          <w:rFonts w:ascii="Arial" w:hAnsi="Arial"/>
          <w:bCs/>
          <w:lang w:val="en"/>
        </w:rPr>
        <w:t xml:space="preserve">The </w:t>
      </w:r>
      <w:r w:rsidR="000B190F">
        <w:rPr>
          <w:rFonts w:ascii="Arial" w:hAnsi="Arial"/>
          <w:bCs/>
          <w:lang w:val="en"/>
        </w:rPr>
        <w:t xml:space="preserve">University Education </w:t>
      </w:r>
      <w:r w:rsidR="0085601B" w:rsidRPr="0085601B">
        <w:rPr>
          <w:rFonts w:ascii="Arial" w:hAnsi="Arial"/>
          <w:bCs/>
          <w:lang w:val="en"/>
        </w:rPr>
        <w:t xml:space="preserve">Committee is a </w:t>
      </w:r>
      <w:r w:rsidR="0085601B">
        <w:rPr>
          <w:rFonts w:ascii="Arial" w:hAnsi="Arial"/>
          <w:bCs/>
          <w:lang w:val="en"/>
        </w:rPr>
        <w:t>standing c</w:t>
      </w:r>
      <w:r w:rsidR="0085601B" w:rsidRPr="0085601B">
        <w:rPr>
          <w:rFonts w:ascii="Arial" w:hAnsi="Arial"/>
          <w:bCs/>
          <w:lang w:val="en"/>
        </w:rPr>
        <w:t>ommittee of the </w:t>
      </w:r>
      <w:hyperlink r:id="rId15" w:history="1">
        <w:r w:rsidR="0085601B" w:rsidRPr="0085601B">
          <w:rPr>
            <w:rFonts w:ascii="Arial" w:hAnsi="Arial"/>
            <w:bCs/>
            <w:lang w:val="en"/>
          </w:rPr>
          <w:t>Academic Board</w:t>
        </w:r>
      </w:hyperlink>
      <w:r w:rsidR="0085601B">
        <w:rPr>
          <w:rFonts w:ascii="Arial" w:hAnsi="Arial"/>
          <w:bCs/>
          <w:lang w:val="en"/>
        </w:rPr>
        <w:t>.</w:t>
      </w:r>
    </w:p>
    <w:p w14:paraId="3C6C12A2" w14:textId="77777777" w:rsidR="008424E8" w:rsidRDefault="008424E8" w:rsidP="000D7D9F">
      <w:pPr>
        <w:ind w:left="567"/>
        <w:rPr>
          <w:rFonts w:ascii="Arial" w:hAnsi="Arial"/>
          <w:bCs/>
          <w:lang w:val="en"/>
        </w:rPr>
      </w:pPr>
    </w:p>
    <w:p w14:paraId="1913933E" w14:textId="77777777" w:rsidR="00787069" w:rsidRPr="008424E8" w:rsidRDefault="00787069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8424E8">
        <w:rPr>
          <w:rFonts w:ascii="Arial" w:hAnsi="Arial"/>
          <w:b/>
          <w:bCs/>
          <w:lang w:val="en"/>
        </w:rPr>
        <w:t xml:space="preserve">Role </w:t>
      </w:r>
    </w:p>
    <w:p w14:paraId="1F046274" w14:textId="77777777" w:rsidR="008424E8" w:rsidRDefault="008424E8" w:rsidP="00FA6D95">
      <w:pPr>
        <w:rPr>
          <w:rFonts w:ascii="Arial" w:hAnsi="Arial"/>
          <w:bCs/>
          <w:lang w:val="en"/>
        </w:rPr>
      </w:pPr>
    </w:p>
    <w:p w14:paraId="4F13FB4D" w14:textId="4C57AD12" w:rsidR="00CD195D" w:rsidRPr="001F70B6" w:rsidRDefault="00787069" w:rsidP="00CD195D">
      <w:pPr>
        <w:ind w:left="1134" w:hanging="567"/>
        <w:rPr>
          <w:rFonts w:ascii="Arial" w:hAnsi="Arial"/>
          <w:bCs/>
          <w:lang w:val="en"/>
        </w:rPr>
      </w:pPr>
      <w:r w:rsidRPr="00C67B9E">
        <w:rPr>
          <w:rFonts w:ascii="Arial" w:hAnsi="Arial"/>
          <w:bCs/>
          <w:lang w:val="en"/>
        </w:rPr>
        <w:t>(1)</w:t>
      </w:r>
      <w:r w:rsidR="00C67B9E" w:rsidRPr="00C67B9E">
        <w:rPr>
          <w:rFonts w:ascii="Arial" w:hAnsi="Arial"/>
          <w:bCs/>
          <w:lang w:val="en"/>
        </w:rPr>
        <w:tab/>
      </w:r>
      <w:r w:rsidRPr="00EE6B3F">
        <w:rPr>
          <w:rFonts w:ascii="Arial" w:hAnsi="Arial"/>
          <w:bCs/>
          <w:lang w:val="en"/>
        </w:rPr>
        <w:t xml:space="preserve">The role of the </w:t>
      </w:r>
      <w:r w:rsidR="005D438B">
        <w:rPr>
          <w:rFonts w:ascii="Arial" w:hAnsi="Arial"/>
          <w:bCs/>
          <w:lang w:val="en"/>
        </w:rPr>
        <w:t xml:space="preserve">University Education </w:t>
      </w:r>
      <w:r w:rsidR="00E720AF" w:rsidRPr="00EE6B3F">
        <w:rPr>
          <w:rFonts w:ascii="Arial" w:hAnsi="Arial"/>
          <w:bCs/>
          <w:lang w:val="en"/>
        </w:rPr>
        <w:t>C</w:t>
      </w:r>
      <w:r w:rsidRPr="00EE6B3F">
        <w:rPr>
          <w:rFonts w:ascii="Arial" w:hAnsi="Arial"/>
          <w:bCs/>
          <w:lang w:val="en"/>
        </w:rPr>
        <w:t xml:space="preserve">ommittee is </w:t>
      </w:r>
      <w:proofErr w:type="gramStart"/>
      <w:r w:rsidRPr="00EE6B3F">
        <w:rPr>
          <w:rFonts w:ascii="Arial" w:hAnsi="Arial"/>
          <w:bCs/>
          <w:lang w:val="en"/>
        </w:rPr>
        <w:t>to</w:t>
      </w:r>
      <w:r w:rsidR="00054036" w:rsidRPr="0085601B">
        <w:rPr>
          <w:rFonts w:ascii="Arial" w:hAnsi="Arial"/>
          <w:bCs/>
          <w:lang w:val="en"/>
        </w:rPr>
        <w:t xml:space="preserve"> </w:t>
      </w:r>
      <w:r w:rsidR="0085601B" w:rsidRPr="00381A6C">
        <w:rPr>
          <w:rFonts w:ascii="Arial" w:hAnsi="Arial"/>
          <w:bCs/>
          <w:lang w:val="en"/>
        </w:rPr>
        <w:t> </w:t>
      </w:r>
      <w:r w:rsidR="00CD195D" w:rsidRPr="001F70B6">
        <w:rPr>
          <w:rFonts w:ascii="Arial" w:hAnsi="Arial"/>
          <w:bCs/>
          <w:lang w:val="en"/>
        </w:rPr>
        <w:t>—</w:t>
      </w:r>
      <w:proofErr w:type="gramEnd"/>
    </w:p>
    <w:p w14:paraId="4E7980A9" w14:textId="535D0212" w:rsidR="006016B2" w:rsidRDefault="006016B2" w:rsidP="006016B2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formulate, continuously develop and enhance the </w:t>
      </w:r>
      <w:r w:rsidR="00AA533D">
        <w:rPr>
          <w:rFonts w:ascii="Arial" w:hAnsi="Arial"/>
          <w:bCs/>
          <w:lang w:val="en"/>
        </w:rPr>
        <w:t xml:space="preserve">University </w:t>
      </w:r>
      <w:r>
        <w:rPr>
          <w:rFonts w:ascii="Arial" w:hAnsi="Arial"/>
          <w:bCs/>
          <w:lang w:val="en"/>
        </w:rPr>
        <w:t>Education Strategy,</w:t>
      </w:r>
      <w:r w:rsidR="00AA533D">
        <w:rPr>
          <w:rFonts w:ascii="Arial" w:hAnsi="Arial"/>
          <w:bCs/>
          <w:lang w:val="en"/>
        </w:rPr>
        <w:t xml:space="preserve"> including global engagement,</w:t>
      </w:r>
      <w:r>
        <w:rPr>
          <w:rFonts w:ascii="Arial" w:hAnsi="Arial"/>
          <w:bCs/>
          <w:lang w:val="en"/>
        </w:rPr>
        <w:t xml:space="preserve"> embedding excellence and ensuring articulation with the University’s wider strategic </w:t>
      </w:r>
      <w:proofErr w:type="gramStart"/>
      <w:r>
        <w:rPr>
          <w:rFonts w:ascii="Arial" w:hAnsi="Arial"/>
          <w:bCs/>
          <w:lang w:val="en"/>
        </w:rPr>
        <w:t>plan;</w:t>
      </w:r>
      <w:proofErr w:type="gramEnd"/>
    </w:p>
    <w:p w14:paraId="722EB7FC" w14:textId="4F9BF3F1" w:rsidR="006016B2" w:rsidRDefault="006016B2" w:rsidP="00E22045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monitor the Delivery Plan for the Education Strategy, set targets and monitor progress against </w:t>
      </w:r>
      <w:r w:rsidR="00AA533D">
        <w:rPr>
          <w:rFonts w:ascii="Arial" w:hAnsi="Arial"/>
          <w:bCs/>
          <w:lang w:val="en"/>
        </w:rPr>
        <w:t xml:space="preserve">key Performance </w:t>
      </w:r>
      <w:proofErr w:type="gramStart"/>
      <w:r w:rsidR="00AA533D">
        <w:rPr>
          <w:rFonts w:ascii="Arial" w:hAnsi="Arial"/>
          <w:bCs/>
          <w:lang w:val="en"/>
        </w:rPr>
        <w:t>indicators</w:t>
      </w:r>
      <w:r>
        <w:rPr>
          <w:rFonts w:ascii="Arial" w:hAnsi="Arial"/>
          <w:bCs/>
          <w:lang w:val="en"/>
        </w:rPr>
        <w:t>;</w:t>
      </w:r>
      <w:proofErr w:type="gramEnd"/>
    </w:p>
    <w:p w14:paraId="293D20FF" w14:textId="51271E62" w:rsidR="006016B2" w:rsidRDefault="006016B2" w:rsidP="00E22045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identify key strategic risks and mitigate risks to the effective implementation of the </w:t>
      </w:r>
      <w:r w:rsidR="00AA533D">
        <w:rPr>
          <w:rFonts w:ascii="Arial" w:hAnsi="Arial"/>
          <w:bCs/>
          <w:lang w:val="en"/>
        </w:rPr>
        <w:t xml:space="preserve">Education </w:t>
      </w:r>
      <w:r>
        <w:rPr>
          <w:rFonts w:ascii="Arial" w:hAnsi="Arial"/>
          <w:bCs/>
          <w:lang w:val="en"/>
        </w:rPr>
        <w:t xml:space="preserve">Strategy, recommending areas for management </w:t>
      </w:r>
      <w:proofErr w:type="gramStart"/>
      <w:r>
        <w:rPr>
          <w:rFonts w:ascii="Arial" w:hAnsi="Arial"/>
          <w:bCs/>
          <w:lang w:val="en"/>
        </w:rPr>
        <w:t>action</w:t>
      </w:r>
      <w:r w:rsidR="00D147D0">
        <w:rPr>
          <w:rFonts w:ascii="Arial" w:hAnsi="Arial"/>
          <w:bCs/>
          <w:lang w:val="en"/>
        </w:rPr>
        <w:t>;</w:t>
      </w:r>
      <w:proofErr w:type="gramEnd"/>
    </w:p>
    <w:p w14:paraId="017A615B" w14:textId="567085E9" w:rsidR="006016B2" w:rsidRDefault="006016B2" w:rsidP="00E22045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monitor relevant internal and external development to inform future strategy and policy, and making recommendation as appropriate to the Academic </w:t>
      </w:r>
      <w:proofErr w:type="gramStart"/>
      <w:r>
        <w:rPr>
          <w:rFonts w:ascii="Arial" w:hAnsi="Arial"/>
          <w:bCs/>
          <w:lang w:val="en"/>
        </w:rPr>
        <w:t>Board;</w:t>
      </w:r>
      <w:proofErr w:type="gramEnd"/>
    </w:p>
    <w:p w14:paraId="40972A80" w14:textId="2649A43E" w:rsidR="00E22045" w:rsidRPr="00E22045" w:rsidRDefault="00E22045" w:rsidP="00E22045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advise and make recommendations to the Academic Board and/or other University bodies or officers, as appropriate, on policy and strategic matter</w:t>
      </w:r>
      <w:r w:rsidR="00E42A51">
        <w:rPr>
          <w:rFonts w:ascii="Arial" w:hAnsi="Arial"/>
          <w:bCs/>
          <w:lang w:val="en"/>
        </w:rPr>
        <w:t>s</w:t>
      </w:r>
      <w:r w:rsidRPr="00E22045">
        <w:rPr>
          <w:rFonts w:ascii="Arial" w:hAnsi="Arial"/>
          <w:bCs/>
          <w:lang w:val="en"/>
        </w:rPr>
        <w:t xml:space="preserve"> relating to:</w:t>
      </w:r>
    </w:p>
    <w:p w14:paraId="0246379C" w14:textId="5AB3BCE9" w:rsidR="00E22045" w:rsidRPr="00E22045" w:rsidRDefault="00E22045" w:rsidP="00E22045">
      <w:pPr>
        <w:pStyle w:val="ListParagraph"/>
        <w:numPr>
          <w:ilvl w:val="5"/>
          <w:numId w:val="23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University's education strategy and </w:t>
      </w:r>
      <w:proofErr w:type="gramStart"/>
      <w:r w:rsidRPr="00E22045">
        <w:rPr>
          <w:rFonts w:ascii="Arial" w:hAnsi="Arial"/>
          <w:bCs/>
          <w:lang w:val="en"/>
        </w:rPr>
        <w:t>vision;</w:t>
      </w:r>
      <w:proofErr w:type="gramEnd"/>
    </w:p>
    <w:p w14:paraId="5AD01D9C" w14:textId="3C66648E" w:rsidR="00E22045" w:rsidRPr="00E22045" w:rsidRDefault="00E22045" w:rsidP="00E22045">
      <w:pPr>
        <w:pStyle w:val="ListParagraph"/>
        <w:numPr>
          <w:ilvl w:val="5"/>
          <w:numId w:val="23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aspects of the student learning experience</w:t>
      </w:r>
      <w:r w:rsidR="006016B2">
        <w:rPr>
          <w:rFonts w:ascii="Arial" w:hAnsi="Arial"/>
          <w:bCs/>
          <w:lang w:val="en"/>
        </w:rPr>
        <w:t>, as advised by its standing committee (Student Experience Committee</w:t>
      </w:r>
      <w:proofErr w:type="gramStart"/>
      <w:r w:rsidR="006016B2">
        <w:rPr>
          <w:rFonts w:ascii="Arial" w:hAnsi="Arial"/>
          <w:bCs/>
          <w:lang w:val="en"/>
        </w:rPr>
        <w:t>)</w:t>
      </w:r>
      <w:r w:rsidRPr="00E22045">
        <w:rPr>
          <w:rFonts w:ascii="Arial" w:hAnsi="Arial"/>
          <w:bCs/>
          <w:lang w:val="en"/>
        </w:rPr>
        <w:t>;</w:t>
      </w:r>
      <w:proofErr w:type="gramEnd"/>
    </w:p>
    <w:p w14:paraId="7D0CBD84" w14:textId="2BC0471B" w:rsidR="00E22045" w:rsidRDefault="00E22045" w:rsidP="00E22045">
      <w:pPr>
        <w:pStyle w:val="ListParagraph"/>
        <w:numPr>
          <w:ilvl w:val="5"/>
          <w:numId w:val="23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the quality of teaching and learning in the institution</w:t>
      </w:r>
      <w:r w:rsidR="006016B2">
        <w:rPr>
          <w:rFonts w:ascii="Arial" w:hAnsi="Arial"/>
          <w:bCs/>
          <w:lang w:val="en"/>
        </w:rPr>
        <w:t>, as advised by its standing committee (Learning and Teaching Committee</w:t>
      </w:r>
      <w:proofErr w:type="gramStart"/>
      <w:r w:rsidR="006016B2">
        <w:rPr>
          <w:rFonts w:ascii="Arial" w:hAnsi="Arial"/>
          <w:bCs/>
          <w:lang w:val="en"/>
        </w:rPr>
        <w:t>)</w:t>
      </w:r>
      <w:r w:rsidRPr="00E22045">
        <w:rPr>
          <w:rFonts w:ascii="Arial" w:hAnsi="Arial"/>
          <w:bCs/>
          <w:lang w:val="en"/>
        </w:rPr>
        <w:t>;</w:t>
      </w:r>
      <w:proofErr w:type="gramEnd"/>
    </w:p>
    <w:p w14:paraId="1152008C" w14:textId="2E527BDB" w:rsidR="006016B2" w:rsidRDefault="00E22045" w:rsidP="00E22045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ensure the alignment of school education strategy with </w:t>
      </w:r>
      <w:proofErr w:type="gramStart"/>
      <w:r w:rsidRPr="00E22045">
        <w:rPr>
          <w:rFonts w:ascii="Arial" w:hAnsi="Arial"/>
          <w:bCs/>
          <w:lang w:val="en"/>
        </w:rPr>
        <w:t>University</w:t>
      </w:r>
      <w:proofErr w:type="gramEnd"/>
      <w:r w:rsidRPr="00E22045">
        <w:rPr>
          <w:rFonts w:ascii="Arial" w:hAnsi="Arial"/>
          <w:bCs/>
          <w:lang w:val="en"/>
        </w:rPr>
        <w:t xml:space="preserve"> priorities</w:t>
      </w:r>
      <w:r w:rsidR="006016B2">
        <w:rPr>
          <w:rFonts w:ascii="Arial" w:hAnsi="Arial"/>
          <w:bCs/>
          <w:lang w:val="en"/>
        </w:rPr>
        <w:t>;</w:t>
      </w:r>
    </w:p>
    <w:p w14:paraId="55A1CD3E" w14:textId="3B4BABF9" w:rsidR="00E22045" w:rsidRDefault="00E22045" w:rsidP="00AC4B87">
      <w:pPr>
        <w:pStyle w:val="ListParagraph"/>
        <w:ind w:left="0"/>
        <w:rPr>
          <w:rFonts w:ascii="Arial" w:hAnsi="Arial"/>
          <w:bCs/>
          <w:lang w:val="en"/>
        </w:rPr>
      </w:pPr>
    </w:p>
    <w:p w14:paraId="020AC6BC" w14:textId="77777777" w:rsidR="00E22045" w:rsidRDefault="00E22045" w:rsidP="00AC4B87">
      <w:pPr>
        <w:pStyle w:val="ListParagraph"/>
        <w:ind w:left="0"/>
        <w:rPr>
          <w:rFonts w:ascii="Arial" w:hAnsi="Arial"/>
          <w:bCs/>
          <w:lang w:val="en"/>
        </w:rPr>
      </w:pPr>
    </w:p>
    <w:p w14:paraId="1E606271" w14:textId="77777777" w:rsidR="00C2318A" w:rsidRPr="008712A2" w:rsidRDefault="00C2318A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72AD4750" w14:textId="77777777" w:rsidR="00C316DE" w:rsidRPr="005010CA" w:rsidRDefault="00C316DE" w:rsidP="005010CA">
      <w:pPr>
        <w:ind w:left="567"/>
        <w:rPr>
          <w:rFonts w:ascii="Arial" w:hAnsi="Arial"/>
          <w:bCs/>
          <w:lang w:val="en"/>
        </w:rPr>
      </w:pPr>
    </w:p>
    <w:p w14:paraId="7C95C617" w14:textId="77777777" w:rsidR="00C2318A" w:rsidRDefault="00E720AF" w:rsidP="00F6140F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</w:t>
      </w:r>
      <w:r w:rsidR="00C2318A" w:rsidRPr="000770D3">
        <w:rPr>
          <w:rFonts w:ascii="Arial" w:hAnsi="Arial"/>
          <w:bCs/>
          <w:lang w:val="en"/>
        </w:rPr>
        <w:t xml:space="preserve"> comprises:</w:t>
      </w:r>
    </w:p>
    <w:p w14:paraId="31FD68A4" w14:textId="1A330C89" w:rsidR="00E22045" w:rsidRP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Deputy Vice-Chancellor (Education), as </w:t>
      </w:r>
      <w:proofErr w:type="gramStart"/>
      <w:r w:rsidRPr="00E22045">
        <w:rPr>
          <w:rFonts w:ascii="Arial" w:hAnsi="Arial"/>
          <w:bCs/>
          <w:lang w:val="en"/>
        </w:rPr>
        <w:t>Chair;</w:t>
      </w:r>
      <w:proofErr w:type="gramEnd"/>
    </w:p>
    <w:p w14:paraId="61A43BB6" w14:textId="6F5C75A2" w:rsidR="00E22045" w:rsidRP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Chair of the Academic </w:t>
      </w:r>
      <w:proofErr w:type="gramStart"/>
      <w:r w:rsidRPr="00E22045">
        <w:rPr>
          <w:rFonts w:ascii="Arial" w:hAnsi="Arial"/>
          <w:bCs/>
          <w:lang w:val="en"/>
        </w:rPr>
        <w:t>Board;</w:t>
      </w:r>
      <w:proofErr w:type="gramEnd"/>
    </w:p>
    <w:p w14:paraId="749390AD" w14:textId="1F7E5D37" w:rsidR="00E22045" w:rsidRP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the Pro Vice-Chancellor (Academic</w:t>
      </w:r>
      <w:r w:rsidR="00494D12">
        <w:rPr>
          <w:rFonts w:ascii="Arial" w:hAnsi="Arial"/>
          <w:bCs/>
          <w:lang w:val="en"/>
        </w:rPr>
        <w:t xml:space="preserve"> Excellence</w:t>
      </w:r>
      <w:proofErr w:type="gramStart"/>
      <w:r w:rsidRPr="00E22045">
        <w:rPr>
          <w:rFonts w:ascii="Arial" w:hAnsi="Arial"/>
          <w:bCs/>
          <w:lang w:val="en"/>
        </w:rPr>
        <w:t>);</w:t>
      </w:r>
      <w:proofErr w:type="gramEnd"/>
    </w:p>
    <w:p w14:paraId="5C223BB3" w14:textId="678E0D24" w:rsidR="00E22045" w:rsidRP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Dean of Graduate Research </w:t>
      </w:r>
      <w:proofErr w:type="gramStart"/>
      <w:r w:rsidRPr="00E22045">
        <w:rPr>
          <w:rFonts w:ascii="Arial" w:hAnsi="Arial"/>
          <w:bCs/>
          <w:lang w:val="en"/>
        </w:rPr>
        <w:t>School;</w:t>
      </w:r>
      <w:proofErr w:type="gramEnd"/>
    </w:p>
    <w:p w14:paraId="008B82EC" w14:textId="78C6F71A" w:rsid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Pro Vice-Chancellor (Indigenous Education), or </w:t>
      </w:r>
      <w:proofErr w:type="gramStart"/>
      <w:r w:rsidRPr="00E22045">
        <w:rPr>
          <w:rFonts w:ascii="Arial" w:hAnsi="Arial"/>
          <w:bCs/>
          <w:lang w:val="en"/>
        </w:rPr>
        <w:t>nominee;</w:t>
      </w:r>
      <w:proofErr w:type="gramEnd"/>
    </w:p>
    <w:p w14:paraId="0402AAC4" w14:textId="7F4C82DF" w:rsidR="0046271F" w:rsidRPr="00E22045" w:rsidRDefault="0046271F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Pro Vice-Chancellor (Global Engagement</w:t>
      </w:r>
      <w:proofErr w:type="gramStart"/>
      <w:r>
        <w:rPr>
          <w:rFonts w:ascii="Arial" w:hAnsi="Arial"/>
          <w:bCs/>
          <w:lang w:val="en"/>
        </w:rPr>
        <w:t>);</w:t>
      </w:r>
      <w:proofErr w:type="gramEnd"/>
    </w:p>
    <w:p w14:paraId="032A5B19" w14:textId="551CF3B5" w:rsidR="00E22045" w:rsidRP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University </w:t>
      </w:r>
      <w:proofErr w:type="gramStart"/>
      <w:r w:rsidRPr="00E22045">
        <w:rPr>
          <w:rFonts w:ascii="Arial" w:hAnsi="Arial"/>
          <w:bCs/>
          <w:lang w:val="en"/>
        </w:rPr>
        <w:t>Librarian;</w:t>
      </w:r>
      <w:proofErr w:type="gramEnd"/>
    </w:p>
    <w:p w14:paraId="0AF58CE0" w14:textId="4AA3D3A8" w:rsidR="00E22045" w:rsidRP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President of the UWA Student Guild, or </w:t>
      </w:r>
      <w:proofErr w:type="gramStart"/>
      <w:r w:rsidRPr="00E22045">
        <w:rPr>
          <w:rFonts w:ascii="Arial" w:hAnsi="Arial"/>
          <w:bCs/>
          <w:lang w:val="en"/>
        </w:rPr>
        <w:t>nominee;</w:t>
      </w:r>
      <w:proofErr w:type="gramEnd"/>
      <w:r w:rsidRPr="00E22045">
        <w:rPr>
          <w:rFonts w:ascii="Arial" w:hAnsi="Arial"/>
          <w:bCs/>
          <w:lang w:val="en"/>
        </w:rPr>
        <w:t> </w:t>
      </w:r>
    </w:p>
    <w:p w14:paraId="092A3498" w14:textId="6A0AFD49" w:rsid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President of the Postgraduate Students' Association, or </w:t>
      </w:r>
      <w:proofErr w:type="gramStart"/>
      <w:r w:rsidRPr="00E22045">
        <w:rPr>
          <w:rFonts w:ascii="Arial" w:hAnsi="Arial"/>
          <w:bCs/>
          <w:lang w:val="en"/>
        </w:rPr>
        <w:t>nominee;</w:t>
      </w:r>
      <w:proofErr w:type="gramEnd"/>
    </w:p>
    <w:p w14:paraId="42A3D7A0" w14:textId="1E8B7F31" w:rsidR="00026DF8" w:rsidRDefault="00026DF8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Chairs, Boards of </w:t>
      </w:r>
      <w:proofErr w:type="gramStart"/>
      <w:r w:rsidRPr="00E22045">
        <w:rPr>
          <w:rFonts w:ascii="Arial" w:hAnsi="Arial"/>
          <w:bCs/>
          <w:lang w:val="en"/>
        </w:rPr>
        <w:t>Studies</w:t>
      </w:r>
      <w:r>
        <w:rPr>
          <w:rFonts w:ascii="Arial" w:hAnsi="Arial"/>
          <w:bCs/>
          <w:lang w:val="en"/>
        </w:rPr>
        <w:t>;</w:t>
      </w:r>
      <w:proofErr w:type="gramEnd"/>
    </w:p>
    <w:p w14:paraId="569DCC09" w14:textId="77777777" w:rsidR="00026DF8" w:rsidRPr="00E22045" w:rsidRDefault="00026DF8" w:rsidP="00026DF8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lastRenderedPageBreak/>
        <w:t xml:space="preserve">five persons nominated by and from the Heads of School or in the absence of an elected Head of School an alternative Head of School may </w:t>
      </w:r>
      <w:proofErr w:type="gramStart"/>
      <w:r w:rsidRPr="00E22045">
        <w:rPr>
          <w:rFonts w:ascii="Arial" w:hAnsi="Arial"/>
          <w:bCs/>
          <w:lang w:val="en"/>
        </w:rPr>
        <w:t>attend;</w:t>
      </w:r>
      <w:proofErr w:type="gramEnd"/>
    </w:p>
    <w:p w14:paraId="64D72BEA" w14:textId="6C007EBD" w:rsidR="00E22045" w:rsidRPr="00026DF8" w:rsidRDefault="00E22045" w:rsidP="00026DF8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two academic staff members nominated and elected by the Academic </w:t>
      </w:r>
      <w:proofErr w:type="gramStart"/>
      <w:r w:rsidRPr="00E22045">
        <w:rPr>
          <w:rFonts w:ascii="Arial" w:hAnsi="Arial"/>
          <w:bCs/>
          <w:lang w:val="en"/>
        </w:rPr>
        <w:t>Board;</w:t>
      </w:r>
      <w:proofErr w:type="gramEnd"/>
      <w:r w:rsidR="00026DF8">
        <w:rPr>
          <w:rFonts w:ascii="Arial" w:hAnsi="Arial"/>
          <w:bCs/>
          <w:lang w:val="en"/>
        </w:rPr>
        <w:t xml:space="preserve"> a</w:t>
      </w:r>
      <w:r w:rsidRPr="00026DF8">
        <w:rPr>
          <w:rFonts w:ascii="Arial" w:hAnsi="Arial"/>
          <w:bCs/>
          <w:lang w:val="en"/>
        </w:rPr>
        <w:t>nd</w:t>
      </w:r>
    </w:p>
    <w:p w14:paraId="2DBC8E15" w14:textId="10CD238E" w:rsidR="00E22045" w:rsidRDefault="00E22045" w:rsidP="00E22045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up to two co-opted members for specific skill set.</w:t>
      </w:r>
    </w:p>
    <w:p w14:paraId="28D9C326" w14:textId="1F03C646" w:rsidR="00E22045" w:rsidRDefault="00E22045" w:rsidP="00153D39">
      <w:pPr>
        <w:spacing w:after="60"/>
        <w:rPr>
          <w:rFonts w:ascii="Arial" w:hAnsi="Arial"/>
          <w:bCs/>
          <w:lang w:val="en"/>
        </w:rPr>
      </w:pPr>
    </w:p>
    <w:p w14:paraId="6D4682FE" w14:textId="40D7994C" w:rsidR="00153D39" w:rsidRDefault="00153D39" w:rsidP="00153D39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Standing invitee</w:t>
      </w:r>
      <w:r w:rsidRPr="000770D3">
        <w:rPr>
          <w:rFonts w:ascii="Arial" w:hAnsi="Arial"/>
          <w:bCs/>
          <w:lang w:val="en"/>
        </w:rPr>
        <w:t>:</w:t>
      </w:r>
    </w:p>
    <w:p w14:paraId="2A20BF32" w14:textId="1E1ECACA" w:rsidR="00153D39" w:rsidRDefault="00153D39" w:rsidP="00153D39">
      <w:pPr>
        <w:pStyle w:val="ListParagraph"/>
        <w:numPr>
          <w:ilvl w:val="1"/>
          <w:numId w:val="26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Director, Student Life</w:t>
      </w:r>
    </w:p>
    <w:p w14:paraId="6EDA1EFA" w14:textId="77777777" w:rsidR="00153D39" w:rsidRPr="00153D39" w:rsidRDefault="00153D39" w:rsidP="00153D39">
      <w:pPr>
        <w:spacing w:after="60"/>
        <w:ind w:left="567"/>
        <w:rPr>
          <w:rFonts w:ascii="Arial" w:hAnsi="Arial"/>
          <w:bCs/>
          <w:lang w:val="en"/>
        </w:rPr>
      </w:pPr>
    </w:p>
    <w:p w14:paraId="35A38429" w14:textId="157878CA" w:rsidR="00E22045" w:rsidRDefault="00E22045" w:rsidP="00E22045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The Chair may appoint a Deputy Chair from among the members to perform essential duties in the Chair's absence.</w:t>
      </w:r>
    </w:p>
    <w:p w14:paraId="49BE8911" w14:textId="77777777" w:rsidR="0038679B" w:rsidRDefault="0038679B" w:rsidP="0038679B">
      <w:pPr>
        <w:pStyle w:val="ListParagraph"/>
        <w:ind w:left="1134"/>
        <w:rPr>
          <w:rFonts w:ascii="Arial" w:hAnsi="Arial"/>
          <w:bCs/>
          <w:lang w:val="en"/>
        </w:rPr>
      </w:pPr>
    </w:p>
    <w:p w14:paraId="5D11EC23" w14:textId="2F7BAFD4" w:rsidR="00E22045" w:rsidRDefault="00153D39" w:rsidP="00E22045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Standing invitees do not form part of the quorum and do not have voting rights</w:t>
      </w:r>
      <w:r w:rsidR="00E22045" w:rsidRPr="00E22045">
        <w:rPr>
          <w:rFonts w:ascii="Arial" w:hAnsi="Arial"/>
          <w:bCs/>
          <w:lang w:val="en"/>
        </w:rPr>
        <w:t>. </w:t>
      </w:r>
    </w:p>
    <w:p w14:paraId="47B74D10" w14:textId="77777777" w:rsidR="00314F89" w:rsidRPr="00E22045" w:rsidRDefault="00314F89" w:rsidP="00314F89">
      <w:pPr>
        <w:pStyle w:val="ListParagraph"/>
        <w:ind w:left="1134"/>
        <w:rPr>
          <w:rFonts w:ascii="Arial" w:hAnsi="Arial"/>
          <w:bCs/>
          <w:lang w:val="en"/>
        </w:rPr>
      </w:pPr>
    </w:p>
    <w:p w14:paraId="405BEAAF" w14:textId="77777777" w:rsidR="00D34578" w:rsidRPr="00D34578" w:rsidRDefault="00D34578" w:rsidP="00D34578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D34578">
        <w:rPr>
          <w:rFonts w:ascii="Arial" w:hAnsi="Arial"/>
          <w:b/>
          <w:bCs/>
          <w:lang w:val="en"/>
        </w:rPr>
        <w:t>Terms of office</w:t>
      </w:r>
    </w:p>
    <w:p w14:paraId="1623862B" w14:textId="198E8363" w:rsidR="00E22045" w:rsidRPr="00E22045" w:rsidRDefault="00E22045" w:rsidP="00E22045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The term of office of members appointed under 3(1)(</w:t>
      </w:r>
      <w:r w:rsidR="0046271F">
        <w:rPr>
          <w:rFonts w:ascii="Arial" w:hAnsi="Arial"/>
          <w:bCs/>
          <w:lang w:val="en"/>
        </w:rPr>
        <w:t>k</w:t>
      </w:r>
      <w:r w:rsidRPr="00E22045">
        <w:rPr>
          <w:rFonts w:ascii="Arial" w:hAnsi="Arial"/>
          <w:bCs/>
          <w:lang w:val="en"/>
        </w:rPr>
        <w:t>) and 3(1)(</w:t>
      </w:r>
      <w:r w:rsidR="0046271F">
        <w:rPr>
          <w:rFonts w:ascii="Arial" w:hAnsi="Arial"/>
          <w:bCs/>
          <w:lang w:val="en"/>
        </w:rPr>
        <w:t>l</w:t>
      </w:r>
      <w:r w:rsidRPr="00E22045">
        <w:rPr>
          <w:rFonts w:ascii="Arial" w:hAnsi="Arial"/>
          <w:bCs/>
          <w:lang w:val="en"/>
        </w:rPr>
        <w:t>) is three years.</w:t>
      </w:r>
    </w:p>
    <w:p w14:paraId="6BDED87D" w14:textId="0B533B6B" w:rsidR="00E22045" w:rsidRPr="00E22045" w:rsidRDefault="00E22045" w:rsidP="00E22045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The term of office of members appointed under 3(1)(</w:t>
      </w:r>
      <w:r w:rsidR="0046271F">
        <w:rPr>
          <w:rFonts w:ascii="Arial" w:hAnsi="Arial"/>
          <w:bCs/>
          <w:lang w:val="en"/>
        </w:rPr>
        <w:t>m</w:t>
      </w:r>
      <w:r w:rsidRPr="00E22045">
        <w:rPr>
          <w:rFonts w:ascii="Arial" w:hAnsi="Arial"/>
          <w:bCs/>
          <w:lang w:val="en"/>
        </w:rPr>
        <w:t>) is two years.</w:t>
      </w:r>
    </w:p>
    <w:p w14:paraId="5F242E71" w14:textId="17199763" w:rsidR="00E22045" w:rsidRPr="00E22045" w:rsidRDefault="00E22045" w:rsidP="00E22045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At the end of a term of office, members appointed under 3(1)(</w:t>
      </w:r>
      <w:r w:rsidR="0046271F">
        <w:rPr>
          <w:rFonts w:ascii="Arial" w:hAnsi="Arial"/>
          <w:bCs/>
          <w:lang w:val="en"/>
        </w:rPr>
        <w:t>k</w:t>
      </w:r>
      <w:r w:rsidRPr="00E22045">
        <w:rPr>
          <w:rFonts w:ascii="Arial" w:hAnsi="Arial"/>
          <w:bCs/>
          <w:lang w:val="en"/>
        </w:rPr>
        <w:t>) and 3(1)(</w:t>
      </w:r>
      <w:r w:rsidR="0046271F">
        <w:rPr>
          <w:rFonts w:ascii="Arial" w:hAnsi="Arial"/>
          <w:bCs/>
          <w:lang w:val="en"/>
        </w:rPr>
        <w:t>l</w:t>
      </w:r>
      <w:r w:rsidR="00026DF8">
        <w:rPr>
          <w:rFonts w:ascii="Arial" w:hAnsi="Arial"/>
          <w:bCs/>
          <w:lang w:val="en"/>
        </w:rPr>
        <w:t>)</w:t>
      </w:r>
      <w:r w:rsidRPr="00E22045">
        <w:rPr>
          <w:rFonts w:ascii="Arial" w:hAnsi="Arial"/>
          <w:bCs/>
          <w:lang w:val="en"/>
        </w:rPr>
        <w:t xml:space="preserve"> are eligible to be appointed for a second term.</w:t>
      </w:r>
    </w:p>
    <w:p w14:paraId="0A1688C9" w14:textId="4BD16D05" w:rsidR="00E22045" w:rsidRDefault="00E22045" w:rsidP="00E22045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At the end of a term of office, members co-opted under 3(1)(</w:t>
      </w:r>
      <w:r w:rsidR="0046271F">
        <w:rPr>
          <w:rFonts w:ascii="Arial" w:hAnsi="Arial"/>
          <w:bCs/>
          <w:lang w:val="en"/>
        </w:rPr>
        <w:t>m</w:t>
      </w:r>
      <w:r w:rsidRPr="00E22045">
        <w:rPr>
          <w:rFonts w:ascii="Arial" w:hAnsi="Arial"/>
          <w:bCs/>
          <w:lang w:val="en"/>
        </w:rPr>
        <w:t>) are eligible to be co-opted again. </w:t>
      </w:r>
    </w:p>
    <w:p w14:paraId="618EAD04" w14:textId="77777777" w:rsidR="00E22045" w:rsidRPr="00E22045" w:rsidRDefault="00E22045" w:rsidP="00E22045">
      <w:pPr>
        <w:pStyle w:val="ListParagraph"/>
        <w:spacing w:after="60"/>
        <w:ind w:left="1134"/>
        <w:contextualSpacing w:val="0"/>
        <w:rPr>
          <w:rFonts w:ascii="Arial" w:hAnsi="Arial"/>
          <w:bCs/>
          <w:lang w:val="en"/>
        </w:rPr>
      </w:pPr>
    </w:p>
    <w:p w14:paraId="1D8A316E" w14:textId="77777777" w:rsidR="00E22045" w:rsidRPr="00E22045" w:rsidRDefault="00E22045" w:rsidP="00E22045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E22045">
        <w:rPr>
          <w:rFonts w:ascii="Arial" w:hAnsi="Arial"/>
          <w:b/>
          <w:bCs/>
          <w:lang w:val="en"/>
        </w:rPr>
        <w:t>Members' absence and nominees</w:t>
      </w:r>
    </w:p>
    <w:p w14:paraId="59971B75" w14:textId="064BF3AD" w:rsidR="00E22045" w:rsidRPr="00E22045" w:rsidRDefault="00E22045" w:rsidP="00E22045">
      <w:pPr>
        <w:pStyle w:val="ListParagraph"/>
        <w:numPr>
          <w:ilvl w:val="3"/>
          <w:numId w:val="24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proofErr w:type="gramStart"/>
      <w:r w:rsidRPr="00E22045">
        <w:rPr>
          <w:rFonts w:ascii="Arial" w:hAnsi="Arial"/>
          <w:bCs/>
          <w:lang w:val="en"/>
        </w:rPr>
        <w:t>In the event that</w:t>
      </w:r>
      <w:proofErr w:type="gramEnd"/>
      <w:r w:rsidRPr="00E22045">
        <w:rPr>
          <w:rFonts w:ascii="Arial" w:hAnsi="Arial"/>
          <w:bCs/>
          <w:lang w:val="en"/>
        </w:rPr>
        <w:t xml:space="preserve"> a member is unable to attend a meeting, that member may nominate a person to attend that meeting in their stead.</w:t>
      </w:r>
    </w:p>
    <w:p w14:paraId="150530D2" w14:textId="4B717B06" w:rsidR="00E22045" w:rsidRDefault="00E22045" w:rsidP="00E22045">
      <w:pPr>
        <w:pStyle w:val="ListParagraph"/>
        <w:numPr>
          <w:ilvl w:val="3"/>
          <w:numId w:val="24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Nominations must be in writing and received by the Executive Officer prior to the relevant meeting.</w:t>
      </w:r>
    </w:p>
    <w:p w14:paraId="7D501A5D" w14:textId="77777777" w:rsidR="00E22045" w:rsidRPr="00E22045" w:rsidRDefault="00E22045" w:rsidP="00E22045">
      <w:pPr>
        <w:pStyle w:val="ListParagraph"/>
        <w:spacing w:after="60"/>
        <w:ind w:left="1134"/>
        <w:contextualSpacing w:val="0"/>
        <w:rPr>
          <w:rFonts w:ascii="Arial" w:hAnsi="Arial"/>
          <w:bCs/>
          <w:lang w:val="en"/>
        </w:rPr>
      </w:pPr>
    </w:p>
    <w:p w14:paraId="032EAF8D" w14:textId="77777777" w:rsidR="00E22045" w:rsidRPr="00E22045" w:rsidRDefault="00E22045" w:rsidP="00E22045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E22045">
        <w:rPr>
          <w:rFonts w:ascii="Arial" w:hAnsi="Arial"/>
          <w:b/>
          <w:bCs/>
          <w:lang w:val="en"/>
        </w:rPr>
        <w:t>Skills and/or qualifications of members and nominees</w:t>
      </w:r>
    </w:p>
    <w:p w14:paraId="31115DBC" w14:textId="77C61F09" w:rsidR="00E22045" w:rsidRPr="00E22045" w:rsidRDefault="00E22045" w:rsidP="00E22045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It is desirable that members and nominees have a leadership role within the education portfolio in their respective functional area, or other leadership role related to the student learning experience, and this important role is to be </w:t>
      </w:r>
      <w:proofErr w:type="gramStart"/>
      <w:r w:rsidRPr="00E22045">
        <w:rPr>
          <w:rFonts w:ascii="Arial" w:hAnsi="Arial"/>
          <w:bCs/>
          <w:lang w:val="en"/>
        </w:rPr>
        <w:t>taken into account</w:t>
      </w:r>
      <w:proofErr w:type="gramEnd"/>
      <w:r w:rsidRPr="00E22045">
        <w:rPr>
          <w:rFonts w:ascii="Arial" w:hAnsi="Arial"/>
          <w:bCs/>
          <w:lang w:val="en"/>
        </w:rPr>
        <w:t xml:space="preserve"> when nominees are appointed.</w:t>
      </w:r>
    </w:p>
    <w:p w14:paraId="6807B060" w14:textId="77777777" w:rsidR="00CD195D" w:rsidRPr="00CD195D" w:rsidRDefault="00CD195D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7CA1F675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Quorum</w:t>
      </w:r>
    </w:p>
    <w:p w14:paraId="6C78DD43" w14:textId="00D94879" w:rsidR="00D34578" w:rsidRDefault="00D34578" w:rsidP="00AB7F9F">
      <w:pPr>
        <w:pStyle w:val="ListParagraph"/>
        <w:numPr>
          <w:ilvl w:val="0"/>
          <w:numId w:val="18"/>
        </w:numPr>
        <w:spacing w:after="60"/>
        <w:contextualSpacing w:val="0"/>
        <w:rPr>
          <w:rFonts w:ascii="Arial" w:hAnsi="Arial"/>
          <w:bCs/>
          <w:lang w:val="en"/>
        </w:rPr>
      </w:pPr>
      <w:r w:rsidRPr="00AB7F9F">
        <w:rPr>
          <w:rFonts w:ascii="Arial" w:hAnsi="Arial"/>
          <w:bCs/>
          <w:lang w:val="en"/>
        </w:rPr>
        <w:t>The quorum for the committee is half the number of members plus one.</w:t>
      </w:r>
    </w:p>
    <w:p w14:paraId="2703D560" w14:textId="77777777" w:rsidR="00AB7F9F" w:rsidRPr="00AB7F9F" w:rsidRDefault="00AB7F9F" w:rsidP="00AB7F9F">
      <w:pPr>
        <w:pStyle w:val="ListParagraph"/>
        <w:spacing w:after="60"/>
        <w:ind w:left="927"/>
        <w:contextualSpacing w:val="0"/>
        <w:rPr>
          <w:rFonts w:ascii="Arial" w:hAnsi="Arial"/>
          <w:bCs/>
          <w:lang w:val="en"/>
        </w:rPr>
      </w:pPr>
    </w:p>
    <w:p w14:paraId="73CD4FCB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Decisions</w:t>
      </w:r>
    </w:p>
    <w:p w14:paraId="234883C8" w14:textId="17B469EF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All matters are decided by a majority of the members present and voting.</w:t>
      </w:r>
    </w:p>
    <w:p w14:paraId="2FF443CF" w14:textId="16EA6A5D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Each member has a vote.</w:t>
      </w:r>
    </w:p>
    <w:p w14:paraId="48DA1FDC" w14:textId="2727DC95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chair of the meeting has an ordinary vote and a casting vote.</w:t>
      </w:r>
    </w:p>
    <w:p w14:paraId="73051595" w14:textId="789FFF23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Invitees or standing invitees do not have a vote.</w:t>
      </w:r>
    </w:p>
    <w:p w14:paraId="04A101D4" w14:textId="77777777" w:rsidR="00CD195D" w:rsidRPr="00CD195D" w:rsidRDefault="00CD195D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2B6714F1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Frequency of meetings</w:t>
      </w:r>
    </w:p>
    <w:p w14:paraId="21F02584" w14:textId="602CD2E6" w:rsidR="00D34578" w:rsidRPr="00CD195D" w:rsidRDefault="00D34578" w:rsidP="00CD195D">
      <w:pPr>
        <w:pStyle w:val="ListParagraph"/>
        <w:numPr>
          <w:ilvl w:val="0"/>
          <w:numId w:val="22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committee meet</w:t>
      </w:r>
      <w:r w:rsidR="00CD195D">
        <w:rPr>
          <w:rFonts w:ascii="Arial" w:hAnsi="Arial"/>
          <w:bCs/>
          <w:lang w:val="en"/>
        </w:rPr>
        <w:t>s</w:t>
      </w:r>
      <w:r w:rsidR="00CD195D" w:rsidRPr="00CD195D">
        <w:rPr>
          <w:rFonts w:ascii="Arial" w:hAnsi="Arial"/>
          <w:bCs/>
          <w:lang w:val="en"/>
        </w:rPr>
        <w:t xml:space="preserve"> up to </w:t>
      </w:r>
      <w:r w:rsidR="00E22045">
        <w:rPr>
          <w:rFonts w:ascii="Arial" w:hAnsi="Arial"/>
          <w:bCs/>
          <w:lang w:val="en"/>
        </w:rPr>
        <w:t>four</w:t>
      </w:r>
      <w:r w:rsidR="00CD195D" w:rsidRPr="00CD195D">
        <w:rPr>
          <w:rFonts w:ascii="Arial" w:hAnsi="Arial"/>
          <w:bCs/>
          <w:lang w:val="en"/>
        </w:rPr>
        <w:t xml:space="preserve"> times a year during the period from February to </w:t>
      </w:r>
      <w:proofErr w:type="gramStart"/>
      <w:r w:rsidR="00CD195D" w:rsidRPr="00CD195D">
        <w:rPr>
          <w:rFonts w:ascii="Arial" w:hAnsi="Arial"/>
          <w:bCs/>
          <w:lang w:val="en"/>
        </w:rPr>
        <w:t>November, and</w:t>
      </w:r>
      <w:proofErr w:type="gramEnd"/>
      <w:r w:rsidR="00CD195D" w:rsidRPr="00CD195D">
        <w:rPr>
          <w:rFonts w:ascii="Arial" w:hAnsi="Arial"/>
          <w:bCs/>
          <w:lang w:val="en"/>
        </w:rPr>
        <w:t xml:space="preserve"> may meet more frequently when required.</w:t>
      </w:r>
    </w:p>
    <w:sectPr w:rsidR="00D34578" w:rsidRPr="00CD195D" w:rsidSect="00314F89">
      <w:headerReference w:type="first" r:id="rId16"/>
      <w:footerReference w:type="first" r:id="rId17"/>
      <w:pgSz w:w="11920" w:h="16860" w:code="9"/>
      <w:pgMar w:top="993" w:right="1418" w:bottom="1418" w:left="1418" w:header="72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92CA" w14:textId="77777777" w:rsidR="00A3604C" w:rsidRDefault="00A3604C" w:rsidP="001B4953">
      <w:r>
        <w:separator/>
      </w:r>
    </w:p>
    <w:p w14:paraId="32EB2806" w14:textId="77777777" w:rsidR="00290AAB" w:rsidRDefault="00290AAB" w:rsidP="001B4953"/>
  </w:endnote>
  <w:endnote w:type="continuationSeparator" w:id="0">
    <w:p w14:paraId="68076160" w14:textId="77777777" w:rsidR="00A3604C" w:rsidRDefault="00A3604C" w:rsidP="001B4953">
      <w:r>
        <w:continuationSeparator/>
      </w:r>
    </w:p>
    <w:p w14:paraId="7E2F8E78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64D" w14:textId="531512F4" w:rsidR="00E75263" w:rsidRPr="00E76C8C" w:rsidRDefault="00E06C1D" w:rsidP="00C93DCF">
    <w:pPr>
      <w:pStyle w:val="Footer"/>
      <w:tabs>
        <w:tab w:val="left" w:pos="3287"/>
      </w:tabs>
      <w:rPr>
        <w:rFonts w:ascii="Arial" w:hAnsi="Arial"/>
      </w:rPr>
    </w:pPr>
    <w:r w:rsidRPr="00E76C8C">
      <w:rPr>
        <w:rFonts w:ascii="Arial" w:hAnsi="Arial"/>
      </w:rPr>
      <w:t xml:space="preserve">Approved </w:t>
    </w:r>
    <w:r w:rsidR="00336DE9">
      <w:rPr>
        <w:rFonts w:ascii="Arial" w:hAnsi="Arial"/>
      </w:rPr>
      <w:t>21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0B3" w14:textId="77777777" w:rsidR="00A3604C" w:rsidRDefault="00A3604C" w:rsidP="001B4953">
      <w:r>
        <w:separator/>
      </w:r>
    </w:p>
    <w:p w14:paraId="763F38B5" w14:textId="77777777" w:rsidR="00290AAB" w:rsidRDefault="00290AAB" w:rsidP="001B4953"/>
  </w:footnote>
  <w:footnote w:type="continuationSeparator" w:id="0">
    <w:p w14:paraId="38EC88AA" w14:textId="77777777" w:rsidR="00A3604C" w:rsidRDefault="00A3604C" w:rsidP="001B4953">
      <w:r>
        <w:continuationSeparator/>
      </w:r>
    </w:p>
    <w:p w14:paraId="6543C556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F58" w14:textId="58A063B9" w:rsidR="00522C68" w:rsidRPr="00522C68" w:rsidRDefault="00522C68" w:rsidP="00314F89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040"/>
      </w:tabs>
      <w:rPr>
        <w:rFonts w:ascii="Arial" w:hAnsi="Arial"/>
        <w:b/>
      </w:rPr>
    </w:pPr>
    <w:r w:rsidRPr="00522C68">
      <w:rPr>
        <w:rFonts w:ascii="Arial" w:hAnsi="Arial"/>
        <w:b/>
      </w:rPr>
      <w:tab/>
    </w:r>
  </w:p>
  <w:p w14:paraId="4DFDEF2C" w14:textId="77777777" w:rsidR="00522C68" w:rsidRDefault="00522C68" w:rsidP="00522C68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4FE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977C34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06A17F6C"/>
    <w:multiLevelType w:val="multilevel"/>
    <w:tmpl w:val="7E1EB3C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F0677F"/>
    <w:multiLevelType w:val="multilevel"/>
    <w:tmpl w:val="96B2D1EA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4" w15:restartNumberingAfterBreak="0">
    <w:nsid w:val="1F3D1776"/>
    <w:multiLevelType w:val="hybridMultilevel"/>
    <w:tmpl w:val="98382D5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173C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6" w15:restartNumberingAfterBreak="0">
    <w:nsid w:val="2E041043"/>
    <w:multiLevelType w:val="hybridMultilevel"/>
    <w:tmpl w:val="3B52382E"/>
    <w:lvl w:ilvl="0" w:tplc="0B1C82E4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F6674C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 w15:restartNumberingAfterBreak="0">
    <w:nsid w:val="3B1A1F4A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 w15:restartNumberingAfterBreak="0">
    <w:nsid w:val="467C4612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E82885"/>
    <w:multiLevelType w:val="hybridMultilevel"/>
    <w:tmpl w:val="7736E16A"/>
    <w:lvl w:ilvl="0" w:tplc="E15632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4D0CDE"/>
    <w:multiLevelType w:val="multilevel"/>
    <w:tmpl w:val="9C5AD4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6200A7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821456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6" w15:restartNumberingAfterBreak="0">
    <w:nsid w:val="5B88450C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F32530"/>
    <w:multiLevelType w:val="hybridMultilevel"/>
    <w:tmpl w:val="A9E2DABC"/>
    <w:lvl w:ilvl="0" w:tplc="62745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80B314D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6B16C6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2" w15:restartNumberingAfterBreak="0">
    <w:nsid w:val="68AA0CD8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3" w15:restartNumberingAfterBreak="0">
    <w:nsid w:val="6F00278E"/>
    <w:multiLevelType w:val="multilevel"/>
    <w:tmpl w:val="4C6C58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10"/>
  </w:num>
  <w:num w:numId="8">
    <w:abstractNumId w:val="7"/>
  </w:num>
  <w:num w:numId="9">
    <w:abstractNumId w:val="0"/>
  </w:num>
  <w:num w:numId="10">
    <w:abstractNumId w:val="23"/>
  </w:num>
  <w:num w:numId="11">
    <w:abstractNumId w:val="25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1"/>
  </w:num>
  <w:num w:numId="17">
    <w:abstractNumId w:val="21"/>
  </w:num>
  <w:num w:numId="18">
    <w:abstractNumId w:val="9"/>
  </w:num>
  <w:num w:numId="19">
    <w:abstractNumId w:val="15"/>
  </w:num>
  <w:num w:numId="20">
    <w:abstractNumId w:val="22"/>
  </w:num>
  <w:num w:numId="21">
    <w:abstractNumId w:val="17"/>
  </w:num>
  <w:num w:numId="22">
    <w:abstractNumId w:val="5"/>
  </w:num>
  <w:num w:numId="23">
    <w:abstractNumId w:val="13"/>
  </w:num>
  <w:num w:numId="24">
    <w:abstractNumId w:val="16"/>
  </w:num>
  <w:num w:numId="25">
    <w:abstractNumId w:val="2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C20"/>
    <w:rsid w:val="00026DF8"/>
    <w:rsid w:val="000305DB"/>
    <w:rsid w:val="0003378C"/>
    <w:rsid w:val="00034306"/>
    <w:rsid w:val="00041FC1"/>
    <w:rsid w:val="00054036"/>
    <w:rsid w:val="00056751"/>
    <w:rsid w:val="000770D3"/>
    <w:rsid w:val="00083AF0"/>
    <w:rsid w:val="000848F9"/>
    <w:rsid w:val="00086F7C"/>
    <w:rsid w:val="000A41CC"/>
    <w:rsid w:val="000A5B1C"/>
    <w:rsid w:val="000A6FA6"/>
    <w:rsid w:val="000B128D"/>
    <w:rsid w:val="000B190F"/>
    <w:rsid w:val="000B3165"/>
    <w:rsid w:val="000C40BE"/>
    <w:rsid w:val="000D7D9F"/>
    <w:rsid w:val="000E6AE8"/>
    <w:rsid w:val="000F69CB"/>
    <w:rsid w:val="00100E79"/>
    <w:rsid w:val="001156D2"/>
    <w:rsid w:val="001354A0"/>
    <w:rsid w:val="001461C3"/>
    <w:rsid w:val="00151032"/>
    <w:rsid w:val="00153D39"/>
    <w:rsid w:val="00154EED"/>
    <w:rsid w:val="00155D07"/>
    <w:rsid w:val="0016234C"/>
    <w:rsid w:val="00162957"/>
    <w:rsid w:val="001664E5"/>
    <w:rsid w:val="0017124C"/>
    <w:rsid w:val="001A7330"/>
    <w:rsid w:val="001A7E77"/>
    <w:rsid w:val="001B1BB4"/>
    <w:rsid w:val="001B4953"/>
    <w:rsid w:val="001D6869"/>
    <w:rsid w:val="001E3901"/>
    <w:rsid w:val="001E3B63"/>
    <w:rsid w:val="001E5C20"/>
    <w:rsid w:val="001E625F"/>
    <w:rsid w:val="002036E0"/>
    <w:rsid w:val="00214505"/>
    <w:rsid w:val="002158B8"/>
    <w:rsid w:val="00216070"/>
    <w:rsid w:val="002211D9"/>
    <w:rsid w:val="00233B96"/>
    <w:rsid w:val="00234BF4"/>
    <w:rsid w:val="00236CA3"/>
    <w:rsid w:val="00244B7E"/>
    <w:rsid w:val="00250B74"/>
    <w:rsid w:val="002545ED"/>
    <w:rsid w:val="0025550D"/>
    <w:rsid w:val="002730C7"/>
    <w:rsid w:val="00277926"/>
    <w:rsid w:val="00280872"/>
    <w:rsid w:val="00290AAB"/>
    <w:rsid w:val="002916F1"/>
    <w:rsid w:val="002A6978"/>
    <w:rsid w:val="002A7065"/>
    <w:rsid w:val="002A7B0F"/>
    <w:rsid w:val="002B1A4A"/>
    <w:rsid w:val="002B5FAB"/>
    <w:rsid w:val="002C32FC"/>
    <w:rsid w:val="002D2653"/>
    <w:rsid w:val="0030095B"/>
    <w:rsid w:val="00306343"/>
    <w:rsid w:val="00313D05"/>
    <w:rsid w:val="00314F89"/>
    <w:rsid w:val="0031770F"/>
    <w:rsid w:val="00332BA6"/>
    <w:rsid w:val="00336DE9"/>
    <w:rsid w:val="00344F99"/>
    <w:rsid w:val="0036000D"/>
    <w:rsid w:val="00361D0D"/>
    <w:rsid w:val="0037064B"/>
    <w:rsid w:val="0037299E"/>
    <w:rsid w:val="00376F39"/>
    <w:rsid w:val="00381A6C"/>
    <w:rsid w:val="00383232"/>
    <w:rsid w:val="00383254"/>
    <w:rsid w:val="0038679B"/>
    <w:rsid w:val="0039442B"/>
    <w:rsid w:val="003C67E8"/>
    <w:rsid w:val="003C7775"/>
    <w:rsid w:val="003D6076"/>
    <w:rsid w:val="003E02F4"/>
    <w:rsid w:val="003F20BB"/>
    <w:rsid w:val="003F33B5"/>
    <w:rsid w:val="003F3494"/>
    <w:rsid w:val="003F7829"/>
    <w:rsid w:val="003F7F77"/>
    <w:rsid w:val="00400108"/>
    <w:rsid w:val="004017D4"/>
    <w:rsid w:val="00421E5E"/>
    <w:rsid w:val="00422614"/>
    <w:rsid w:val="00432D4E"/>
    <w:rsid w:val="004471DC"/>
    <w:rsid w:val="0046271F"/>
    <w:rsid w:val="00464C9C"/>
    <w:rsid w:val="00471AE6"/>
    <w:rsid w:val="00472C75"/>
    <w:rsid w:val="0049203A"/>
    <w:rsid w:val="00494A9E"/>
    <w:rsid w:val="00494D12"/>
    <w:rsid w:val="004A013D"/>
    <w:rsid w:val="004B1648"/>
    <w:rsid w:val="004B37F2"/>
    <w:rsid w:val="004B598D"/>
    <w:rsid w:val="004B7794"/>
    <w:rsid w:val="004C7FD1"/>
    <w:rsid w:val="004D096F"/>
    <w:rsid w:val="004F66B5"/>
    <w:rsid w:val="004F6E1C"/>
    <w:rsid w:val="005010CA"/>
    <w:rsid w:val="005122FB"/>
    <w:rsid w:val="005135A2"/>
    <w:rsid w:val="00522C68"/>
    <w:rsid w:val="005250AE"/>
    <w:rsid w:val="00525A1F"/>
    <w:rsid w:val="00526B83"/>
    <w:rsid w:val="00541FEE"/>
    <w:rsid w:val="00547D54"/>
    <w:rsid w:val="0059489D"/>
    <w:rsid w:val="005A166A"/>
    <w:rsid w:val="005B1FCE"/>
    <w:rsid w:val="005C0B7D"/>
    <w:rsid w:val="005D438B"/>
    <w:rsid w:val="005F11BF"/>
    <w:rsid w:val="005F28FD"/>
    <w:rsid w:val="005F6539"/>
    <w:rsid w:val="0060005C"/>
    <w:rsid w:val="006016B2"/>
    <w:rsid w:val="00602537"/>
    <w:rsid w:val="0060612F"/>
    <w:rsid w:val="00606EEA"/>
    <w:rsid w:val="00613244"/>
    <w:rsid w:val="0062728A"/>
    <w:rsid w:val="00633514"/>
    <w:rsid w:val="006344D4"/>
    <w:rsid w:val="00660847"/>
    <w:rsid w:val="00674C19"/>
    <w:rsid w:val="006A3828"/>
    <w:rsid w:val="006D5F48"/>
    <w:rsid w:val="006F4D86"/>
    <w:rsid w:val="00700CC9"/>
    <w:rsid w:val="00710634"/>
    <w:rsid w:val="0071338F"/>
    <w:rsid w:val="0071674D"/>
    <w:rsid w:val="007220D9"/>
    <w:rsid w:val="00730B65"/>
    <w:rsid w:val="007318B8"/>
    <w:rsid w:val="00746E61"/>
    <w:rsid w:val="00754E08"/>
    <w:rsid w:val="00762EB5"/>
    <w:rsid w:val="00764096"/>
    <w:rsid w:val="007656B9"/>
    <w:rsid w:val="0076642B"/>
    <w:rsid w:val="00786666"/>
    <w:rsid w:val="00787069"/>
    <w:rsid w:val="007A2084"/>
    <w:rsid w:val="007B0B8C"/>
    <w:rsid w:val="007C6034"/>
    <w:rsid w:val="007D0F28"/>
    <w:rsid w:val="007E674C"/>
    <w:rsid w:val="00802825"/>
    <w:rsid w:val="008234F2"/>
    <w:rsid w:val="00831366"/>
    <w:rsid w:val="00834F2F"/>
    <w:rsid w:val="008424E8"/>
    <w:rsid w:val="0085000F"/>
    <w:rsid w:val="0085601B"/>
    <w:rsid w:val="008567B9"/>
    <w:rsid w:val="008671F7"/>
    <w:rsid w:val="008712A2"/>
    <w:rsid w:val="00874A78"/>
    <w:rsid w:val="00876F69"/>
    <w:rsid w:val="0088737F"/>
    <w:rsid w:val="008A637A"/>
    <w:rsid w:val="008E20BD"/>
    <w:rsid w:val="008E42D3"/>
    <w:rsid w:val="008F452A"/>
    <w:rsid w:val="008F4EBE"/>
    <w:rsid w:val="00903B6B"/>
    <w:rsid w:val="00906754"/>
    <w:rsid w:val="00907F43"/>
    <w:rsid w:val="00910A6F"/>
    <w:rsid w:val="0092111D"/>
    <w:rsid w:val="00921A6F"/>
    <w:rsid w:val="00921C97"/>
    <w:rsid w:val="00931239"/>
    <w:rsid w:val="009417B2"/>
    <w:rsid w:val="0094609F"/>
    <w:rsid w:val="00965E02"/>
    <w:rsid w:val="009661CF"/>
    <w:rsid w:val="009662A4"/>
    <w:rsid w:val="009E346C"/>
    <w:rsid w:val="009F0C48"/>
    <w:rsid w:val="00A20790"/>
    <w:rsid w:val="00A3012B"/>
    <w:rsid w:val="00A305D7"/>
    <w:rsid w:val="00A31B9D"/>
    <w:rsid w:val="00A3604C"/>
    <w:rsid w:val="00A429AC"/>
    <w:rsid w:val="00A47573"/>
    <w:rsid w:val="00A53758"/>
    <w:rsid w:val="00A53BA4"/>
    <w:rsid w:val="00A541D6"/>
    <w:rsid w:val="00A608C7"/>
    <w:rsid w:val="00A7392C"/>
    <w:rsid w:val="00A809FE"/>
    <w:rsid w:val="00A868D8"/>
    <w:rsid w:val="00A96325"/>
    <w:rsid w:val="00AA366C"/>
    <w:rsid w:val="00AA50DB"/>
    <w:rsid w:val="00AA533D"/>
    <w:rsid w:val="00AB7F9F"/>
    <w:rsid w:val="00AC4B87"/>
    <w:rsid w:val="00AC4D2C"/>
    <w:rsid w:val="00AC5D36"/>
    <w:rsid w:val="00AD2EF3"/>
    <w:rsid w:val="00AF7BCB"/>
    <w:rsid w:val="00B16940"/>
    <w:rsid w:val="00B26A33"/>
    <w:rsid w:val="00B3230C"/>
    <w:rsid w:val="00B34AFB"/>
    <w:rsid w:val="00B41D79"/>
    <w:rsid w:val="00B424AA"/>
    <w:rsid w:val="00B462AD"/>
    <w:rsid w:val="00B64DEE"/>
    <w:rsid w:val="00B86D88"/>
    <w:rsid w:val="00BA2E5B"/>
    <w:rsid w:val="00BF52F6"/>
    <w:rsid w:val="00C0207A"/>
    <w:rsid w:val="00C0377F"/>
    <w:rsid w:val="00C055CB"/>
    <w:rsid w:val="00C12609"/>
    <w:rsid w:val="00C15025"/>
    <w:rsid w:val="00C20A57"/>
    <w:rsid w:val="00C2318A"/>
    <w:rsid w:val="00C316DE"/>
    <w:rsid w:val="00C421EE"/>
    <w:rsid w:val="00C5600B"/>
    <w:rsid w:val="00C663FA"/>
    <w:rsid w:val="00C67B9E"/>
    <w:rsid w:val="00C81FF3"/>
    <w:rsid w:val="00C83BA5"/>
    <w:rsid w:val="00C93DCF"/>
    <w:rsid w:val="00C97DD7"/>
    <w:rsid w:val="00CA407E"/>
    <w:rsid w:val="00CB12A6"/>
    <w:rsid w:val="00CC028B"/>
    <w:rsid w:val="00CC6983"/>
    <w:rsid w:val="00CD195D"/>
    <w:rsid w:val="00CD4471"/>
    <w:rsid w:val="00CD5CD1"/>
    <w:rsid w:val="00CE19C4"/>
    <w:rsid w:val="00CE2DDD"/>
    <w:rsid w:val="00D012D3"/>
    <w:rsid w:val="00D147D0"/>
    <w:rsid w:val="00D163CA"/>
    <w:rsid w:val="00D20037"/>
    <w:rsid w:val="00D2014C"/>
    <w:rsid w:val="00D30FCA"/>
    <w:rsid w:val="00D34578"/>
    <w:rsid w:val="00D37AD4"/>
    <w:rsid w:val="00D43E57"/>
    <w:rsid w:val="00D4435A"/>
    <w:rsid w:val="00D520E7"/>
    <w:rsid w:val="00D521CE"/>
    <w:rsid w:val="00D5643B"/>
    <w:rsid w:val="00D57BE6"/>
    <w:rsid w:val="00D614B3"/>
    <w:rsid w:val="00D61C83"/>
    <w:rsid w:val="00D71B51"/>
    <w:rsid w:val="00D7419F"/>
    <w:rsid w:val="00D76398"/>
    <w:rsid w:val="00D85DC1"/>
    <w:rsid w:val="00DA1AFB"/>
    <w:rsid w:val="00DA4412"/>
    <w:rsid w:val="00DB51AF"/>
    <w:rsid w:val="00DB5A6A"/>
    <w:rsid w:val="00DC3604"/>
    <w:rsid w:val="00DC4BCA"/>
    <w:rsid w:val="00DD3C87"/>
    <w:rsid w:val="00DF7EB2"/>
    <w:rsid w:val="00E06C1D"/>
    <w:rsid w:val="00E16967"/>
    <w:rsid w:val="00E21B12"/>
    <w:rsid w:val="00E22045"/>
    <w:rsid w:val="00E40D28"/>
    <w:rsid w:val="00E42A51"/>
    <w:rsid w:val="00E42CA3"/>
    <w:rsid w:val="00E46768"/>
    <w:rsid w:val="00E4767F"/>
    <w:rsid w:val="00E47BA7"/>
    <w:rsid w:val="00E720AF"/>
    <w:rsid w:val="00E724BF"/>
    <w:rsid w:val="00E75263"/>
    <w:rsid w:val="00E76C8C"/>
    <w:rsid w:val="00EB0644"/>
    <w:rsid w:val="00EB227D"/>
    <w:rsid w:val="00EC1F92"/>
    <w:rsid w:val="00EC3A6E"/>
    <w:rsid w:val="00ED0C2A"/>
    <w:rsid w:val="00ED5541"/>
    <w:rsid w:val="00EE5153"/>
    <w:rsid w:val="00EE6B3F"/>
    <w:rsid w:val="00EF3D33"/>
    <w:rsid w:val="00EF71D7"/>
    <w:rsid w:val="00F0648E"/>
    <w:rsid w:val="00F12C7F"/>
    <w:rsid w:val="00F14FB1"/>
    <w:rsid w:val="00F30D0E"/>
    <w:rsid w:val="00F4550D"/>
    <w:rsid w:val="00F6065A"/>
    <w:rsid w:val="00F6140F"/>
    <w:rsid w:val="00F70812"/>
    <w:rsid w:val="00F82334"/>
    <w:rsid w:val="00F83488"/>
    <w:rsid w:val="00F836BB"/>
    <w:rsid w:val="00FA6D95"/>
    <w:rsid w:val="00FB16D4"/>
    <w:rsid w:val="00FC00A4"/>
    <w:rsid w:val="00FC1CBD"/>
    <w:rsid w:val="00FC656A"/>
    <w:rsid w:val="00FD1152"/>
    <w:rsid w:val="00FE061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B01227B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3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3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6D8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6AE8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ernance.uwa.edu.au/committees/principles/ru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ernance.uwa.edu.au/committees/principles/operation-princip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ernance.uwa.edu.au/committees/academic-boar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ernance.uwa.edu.au/committees/principles/code-of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7B7676491B4EB5483A2668FC5C32" ma:contentTypeVersion="0" ma:contentTypeDescription="Create a new document." ma:contentTypeScope="" ma:versionID="ca1779de4eba6597c7355fea43a830a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B35887-BECD-4D4E-B8DD-D29F7422A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55754F-6EC8-4588-9FEF-A5D0B5201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1F895-C4B9-42B8-AAA0-D67F1AA4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Dr Kabilan Krishnasamy</cp:lastModifiedBy>
  <cp:revision>23</cp:revision>
  <cp:lastPrinted>2020-05-27T08:23:00Z</cp:lastPrinted>
  <dcterms:created xsi:type="dcterms:W3CDTF">2021-07-29T03:23:00Z</dcterms:created>
  <dcterms:modified xsi:type="dcterms:W3CDTF">2022-11-08T03:30:00Z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0x010100D4B07B7676491B4EB5483A2668FC5C32</vt:lpwstr>
  </property>
</Properties>
</file>