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28E8" w14:textId="5A2C14DF" w:rsidR="0073736F" w:rsidRDefault="001D02CF" w:rsidP="00E47C6E">
      <w:pPr>
        <w:spacing w:after="0"/>
        <w:jc w:val="center"/>
        <w:rPr>
          <w:b/>
          <w:bCs/>
        </w:rPr>
      </w:pPr>
      <w:r>
        <w:rPr>
          <w:b/>
          <w:bCs/>
        </w:rPr>
        <w:t>Expectation</w:t>
      </w:r>
      <w:r w:rsidR="00F0153F">
        <w:rPr>
          <w:b/>
          <w:bCs/>
        </w:rPr>
        <w:t>s</w:t>
      </w:r>
      <w:r>
        <w:rPr>
          <w:b/>
          <w:bCs/>
        </w:rPr>
        <w:t xml:space="preserve"> of </w:t>
      </w:r>
      <w:r w:rsidR="0073736F" w:rsidRPr="0073736F">
        <w:rPr>
          <w:b/>
          <w:bCs/>
        </w:rPr>
        <w:t>Unit Coordinator</w:t>
      </w:r>
      <w:r w:rsidR="00E47C6E">
        <w:rPr>
          <w:b/>
          <w:bCs/>
        </w:rPr>
        <w:t xml:space="preserve"> </w:t>
      </w:r>
      <w:r>
        <w:rPr>
          <w:b/>
          <w:bCs/>
        </w:rPr>
        <w:t xml:space="preserve">(Tasks and </w:t>
      </w:r>
      <w:r w:rsidR="00101172">
        <w:rPr>
          <w:b/>
          <w:bCs/>
        </w:rPr>
        <w:t>Re</w:t>
      </w:r>
      <w:r>
        <w:rPr>
          <w:b/>
          <w:bCs/>
        </w:rPr>
        <w:t>sponsibilities)</w:t>
      </w:r>
    </w:p>
    <w:p w14:paraId="2053BD71" w14:textId="77777777" w:rsidR="001F728F" w:rsidRPr="00F805BF" w:rsidRDefault="001F728F" w:rsidP="00576049">
      <w:pPr>
        <w:spacing w:after="0"/>
        <w:rPr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73736F" w14:paraId="51259667" w14:textId="77777777" w:rsidTr="004F7A22">
        <w:tc>
          <w:tcPr>
            <w:tcW w:w="9493" w:type="dxa"/>
            <w:shd w:val="clear" w:color="auto" w:fill="D9E2F3" w:themeFill="accent1" w:themeFillTint="33"/>
          </w:tcPr>
          <w:p w14:paraId="281F3AF5" w14:textId="1ECA5A8F" w:rsidR="0073736F" w:rsidRDefault="0073736F" w:rsidP="00576049">
            <w:pPr>
              <w:rPr>
                <w:b/>
                <w:bCs/>
              </w:rPr>
            </w:pPr>
            <w:r>
              <w:rPr>
                <w:b/>
                <w:bCs/>
              </w:rPr>
              <w:t>Definition</w:t>
            </w:r>
          </w:p>
        </w:tc>
      </w:tr>
      <w:tr w:rsidR="0073736F" w14:paraId="0B1A369F" w14:textId="77777777" w:rsidTr="004F7A22">
        <w:tc>
          <w:tcPr>
            <w:tcW w:w="9493" w:type="dxa"/>
          </w:tcPr>
          <w:p w14:paraId="2A07DF9C" w14:textId="046FEA5D" w:rsidR="0073736F" w:rsidRPr="00857462" w:rsidRDefault="00CD6894" w:rsidP="00576049">
            <w:r w:rsidRPr="00CD6894">
              <w:t>A Unit Coordinator (UC) should be a subject area expert who </w:t>
            </w:r>
            <w:r w:rsidRPr="00CD6894">
              <w:rPr>
                <w:lang w:val="en-GB"/>
              </w:rPr>
              <w:t>bears overall responsibility for learning and teaching a unit of study</w:t>
            </w:r>
            <w:r w:rsidRPr="00CD6894">
              <w:t>. A UC supports excellence in learning and teaching practices and ensures maintenance of academic achievement standards through compliance with relevant UWA policies and procedures, and expectations of professional and accrediting bodies.</w:t>
            </w:r>
          </w:p>
        </w:tc>
      </w:tr>
      <w:tr w:rsidR="0073736F" w14:paraId="3F4781CA" w14:textId="77777777" w:rsidTr="004F7A22">
        <w:tc>
          <w:tcPr>
            <w:tcW w:w="9493" w:type="dxa"/>
            <w:shd w:val="clear" w:color="auto" w:fill="D9E2F3" w:themeFill="accent1" w:themeFillTint="33"/>
          </w:tcPr>
          <w:p w14:paraId="07AE282A" w14:textId="54A705A0" w:rsidR="0073736F" w:rsidRDefault="0073736F" w:rsidP="00576049">
            <w:pPr>
              <w:rPr>
                <w:b/>
                <w:bCs/>
              </w:rPr>
            </w:pPr>
            <w:r>
              <w:rPr>
                <w:b/>
                <w:bCs/>
              </w:rPr>
              <w:t>Required qualification in accordance with TEQSA Higher Education Standards</w:t>
            </w:r>
          </w:p>
        </w:tc>
      </w:tr>
      <w:tr w:rsidR="0073736F" w14:paraId="1792D5B4" w14:textId="77777777" w:rsidTr="004F7A22">
        <w:tc>
          <w:tcPr>
            <w:tcW w:w="9493" w:type="dxa"/>
          </w:tcPr>
          <w:p w14:paraId="753BB43F" w14:textId="48CF2CA5" w:rsidR="0073736F" w:rsidRDefault="0073736F" w:rsidP="00576049">
            <w:r>
              <w:t xml:space="preserve">Section 3.2.3 of the Higher Education Standards Framework sets out the requirements for the availability, skills and knowledge of teaching staff, as follows: </w:t>
            </w:r>
          </w:p>
          <w:p w14:paraId="4EF0A37C" w14:textId="00BCBB52" w:rsidR="0073736F" w:rsidRDefault="0073736F" w:rsidP="00576049"/>
          <w:p w14:paraId="636AE226" w14:textId="7C913437" w:rsidR="0073736F" w:rsidRDefault="0073736F" w:rsidP="00576049">
            <w:r>
              <w:t>Staff with responsibilities for academic oversight and those with teaching and supervisory roles</w:t>
            </w:r>
            <w:r w:rsidR="00225023">
              <w:t xml:space="preserve"> in courses or units of study are equipped for their roles, including having: </w:t>
            </w:r>
          </w:p>
          <w:p w14:paraId="698D2182" w14:textId="31AAF732" w:rsidR="00225023" w:rsidRDefault="00225023" w:rsidP="00576049">
            <w:pPr>
              <w:pStyle w:val="ListParagraph"/>
              <w:numPr>
                <w:ilvl w:val="0"/>
                <w:numId w:val="1"/>
              </w:numPr>
            </w:pPr>
            <w:r>
              <w:t>Knowledge of contemporary developments in the discipline or field, which is informed by continuing scholarship or research or advances in practice;</w:t>
            </w:r>
          </w:p>
          <w:p w14:paraId="20FB3D43" w14:textId="63871761" w:rsidR="00225023" w:rsidRDefault="00225023" w:rsidP="00576049">
            <w:pPr>
              <w:pStyle w:val="ListParagraph"/>
              <w:numPr>
                <w:ilvl w:val="0"/>
                <w:numId w:val="1"/>
              </w:numPr>
            </w:pPr>
            <w:r>
              <w:t>Skills in contemporary teaching, learning and assessment principles relevant to the discipline, their role, modes of delivery and the needs of particular student cohorts</w:t>
            </w:r>
            <w:r w:rsidR="004000DD">
              <w:t>;</w:t>
            </w:r>
            <w:r>
              <w:t xml:space="preserve"> and</w:t>
            </w:r>
          </w:p>
          <w:p w14:paraId="33240323" w14:textId="54F6830F" w:rsidR="00225023" w:rsidRDefault="00225023" w:rsidP="000C2976">
            <w:pPr>
              <w:pStyle w:val="ListParagraph"/>
              <w:numPr>
                <w:ilvl w:val="0"/>
                <w:numId w:val="1"/>
              </w:numPr>
            </w:pPr>
            <w:r>
              <w:t xml:space="preserve">a qualification in a relevant discipline at least one level higher than is awarded for the course of </w:t>
            </w:r>
            <w:r w:rsidRPr="00B01F1D">
              <w:t>study</w:t>
            </w:r>
            <w:r w:rsidR="00CD6CBE" w:rsidRPr="00B01F1D">
              <w:t xml:space="preserve"> of which the unit forms a part</w:t>
            </w:r>
            <w:r w:rsidRPr="00B01F1D">
              <w:t>,</w:t>
            </w:r>
            <w:r>
              <w:t xml:space="preserve"> or equivalent academic or professional or practice-based experience and expertise, except for staff supervising doctoral degrees having a doctoral degree or equivalent research experience. </w:t>
            </w:r>
          </w:p>
          <w:p w14:paraId="20B8AB10" w14:textId="77777777" w:rsidR="00290D2E" w:rsidRPr="00290D2E" w:rsidRDefault="00290D2E" w:rsidP="00290D2E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9096" w:type="dxa"/>
              <w:tblLook w:val="04A0" w:firstRow="1" w:lastRow="0" w:firstColumn="1" w:lastColumn="0" w:noHBand="0" w:noVBand="1"/>
            </w:tblPr>
            <w:tblGrid>
              <w:gridCol w:w="2930"/>
              <w:gridCol w:w="6166"/>
            </w:tblGrid>
            <w:tr w:rsidR="00290D2E" w14:paraId="0DBDE9F4" w14:textId="77777777" w:rsidTr="004F7A22">
              <w:tc>
                <w:tcPr>
                  <w:tcW w:w="2930" w:type="dxa"/>
                  <w:shd w:val="clear" w:color="auto" w:fill="E7E6E6" w:themeFill="background2"/>
                </w:tcPr>
                <w:p w14:paraId="0DA3FE2A" w14:textId="77777777" w:rsidR="00290D2E" w:rsidRPr="00225023" w:rsidRDefault="00290D2E" w:rsidP="00290D2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5023">
                    <w:rPr>
                      <w:b/>
                      <w:bCs/>
                      <w:sz w:val="18"/>
                      <w:szCs w:val="18"/>
                    </w:rPr>
                    <w:t xml:space="preserve">To teach in units offered in courses at: </w:t>
                  </w:r>
                </w:p>
              </w:tc>
              <w:tc>
                <w:tcPr>
                  <w:tcW w:w="6166" w:type="dxa"/>
                  <w:shd w:val="clear" w:color="auto" w:fill="E7E6E6" w:themeFill="background2"/>
                </w:tcPr>
                <w:p w14:paraId="675A4961" w14:textId="77777777" w:rsidR="00290D2E" w:rsidRPr="00225023" w:rsidRDefault="00290D2E" w:rsidP="00290D2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25023">
                    <w:rPr>
                      <w:b/>
                      <w:bCs/>
                      <w:sz w:val="18"/>
                      <w:szCs w:val="18"/>
                    </w:rPr>
                    <w:t>Staffing profile: qualification required</w:t>
                  </w:r>
                </w:p>
              </w:tc>
            </w:tr>
            <w:tr w:rsidR="00290D2E" w14:paraId="702F082E" w14:textId="77777777" w:rsidTr="004F7A22">
              <w:tc>
                <w:tcPr>
                  <w:tcW w:w="2930" w:type="dxa"/>
                </w:tcPr>
                <w:p w14:paraId="49C4F5B4" w14:textId="77777777" w:rsidR="00290D2E" w:rsidRPr="00225023" w:rsidRDefault="00290D2E" w:rsidP="00290D2E">
                  <w:pPr>
                    <w:rPr>
                      <w:sz w:val="18"/>
                      <w:szCs w:val="18"/>
                    </w:rPr>
                  </w:pPr>
                  <w:r w:rsidRPr="00225023">
                    <w:rPr>
                      <w:sz w:val="18"/>
                      <w:szCs w:val="18"/>
                    </w:rPr>
                    <w:t>AQF Level 7 (Bachelor’s degree)</w:t>
                  </w:r>
                </w:p>
              </w:tc>
              <w:tc>
                <w:tcPr>
                  <w:tcW w:w="6166" w:type="dxa"/>
                </w:tcPr>
                <w:p w14:paraId="2412DFD8" w14:textId="77777777" w:rsidR="00290D2E" w:rsidRPr="00225023" w:rsidRDefault="00290D2E" w:rsidP="00290D2E">
                  <w:pPr>
                    <w:pStyle w:val="ListParagraph"/>
                    <w:numPr>
                      <w:ilvl w:val="0"/>
                      <w:numId w:val="2"/>
                    </w:numPr>
                    <w:ind w:left="238" w:hanging="238"/>
                    <w:rPr>
                      <w:sz w:val="18"/>
                      <w:szCs w:val="18"/>
                    </w:rPr>
                  </w:pPr>
                  <w:r w:rsidRPr="00225023">
                    <w:rPr>
                      <w:sz w:val="18"/>
                      <w:szCs w:val="18"/>
                    </w:rPr>
                    <w:t xml:space="preserve">At least Graduate Diploma or Graduate Certificate (AQF Level 8); or </w:t>
                  </w:r>
                </w:p>
                <w:p w14:paraId="03223910" w14:textId="77777777" w:rsidR="00290D2E" w:rsidRDefault="00290D2E" w:rsidP="00290D2E">
                  <w:pPr>
                    <w:pStyle w:val="ListParagraph"/>
                    <w:numPr>
                      <w:ilvl w:val="0"/>
                      <w:numId w:val="2"/>
                    </w:numPr>
                    <w:ind w:left="238" w:hanging="238"/>
                    <w:rPr>
                      <w:sz w:val="18"/>
                      <w:szCs w:val="18"/>
                    </w:rPr>
                  </w:pPr>
                  <w:r w:rsidRPr="00225023">
                    <w:rPr>
                      <w:sz w:val="18"/>
                      <w:szCs w:val="18"/>
                    </w:rPr>
                    <w:t>A four-year Bachelor’s degree (with honours) (AQF Level 8) in related discipline</w:t>
                  </w:r>
                </w:p>
                <w:p w14:paraId="52F3DB40" w14:textId="77777777" w:rsidR="00290D2E" w:rsidRPr="00225023" w:rsidRDefault="00290D2E" w:rsidP="00290D2E">
                  <w:pPr>
                    <w:pStyle w:val="ListParagraph"/>
                    <w:numPr>
                      <w:ilvl w:val="0"/>
                      <w:numId w:val="2"/>
                    </w:numPr>
                    <w:ind w:left="238" w:hanging="23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 Bachelor’s degree </w:t>
                  </w:r>
                  <w:r w:rsidRPr="0012141F">
                    <w:rPr>
                      <w:sz w:val="18"/>
                      <w:szCs w:val="18"/>
                    </w:rPr>
                    <w:t xml:space="preserve">qualification in related discipline plus </w:t>
                  </w:r>
                  <w:r>
                    <w:rPr>
                      <w:sz w:val="18"/>
                      <w:szCs w:val="18"/>
                    </w:rPr>
                    <w:t xml:space="preserve">at least five years of relevant </w:t>
                  </w:r>
                  <w:r w:rsidRPr="0012141F">
                    <w:rPr>
                      <w:sz w:val="18"/>
                      <w:szCs w:val="18"/>
                    </w:rPr>
                    <w:t>professional experience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290D2E" w14:paraId="04C21678" w14:textId="77777777" w:rsidTr="004F7A22">
              <w:tc>
                <w:tcPr>
                  <w:tcW w:w="2930" w:type="dxa"/>
                </w:tcPr>
                <w:p w14:paraId="5759CD10" w14:textId="77777777" w:rsidR="00290D2E" w:rsidRPr="00225023" w:rsidRDefault="00290D2E" w:rsidP="00290D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AQF Level 8 (Graduate Certificate, Graduate Diploma) </w:t>
                  </w:r>
                </w:p>
              </w:tc>
              <w:tc>
                <w:tcPr>
                  <w:tcW w:w="6166" w:type="dxa"/>
                </w:tcPr>
                <w:p w14:paraId="2B1CBE7F" w14:textId="77777777" w:rsidR="00290D2E" w:rsidRDefault="00290D2E" w:rsidP="00290D2E">
                  <w:pPr>
                    <w:pStyle w:val="ListParagraph"/>
                    <w:numPr>
                      <w:ilvl w:val="0"/>
                      <w:numId w:val="3"/>
                    </w:numPr>
                    <w:ind w:left="238" w:hanging="23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 least a Master’s degree (AQF Level 9), or</w:t>
                  </w:r>
                </w:p>
                <w:p w14:paraId="08C4E642" w14:textId="77777777" w:rsidR="00290D2E" w:rsidRPr="00054277" w:rsidRDefault="00290D2E" w:rsidP="00290D2E">
                  <w:pPr>
                    <w:pStyle w:val="ListParagraph"/>
                    <w:numPr>
                      <w:ilvl w:val="0"/>
                      <w:numId w:val="3"/>
                    </w:numPr>
                    <w:ind w:left="238" w:hanging="23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 Graduate Diploma qualification in related discipline plus at least five years relevant professional experience.</w:t>
                  </w:r>
                </w:p>
              </w:tc>
            </w:tr>
            <w:tr w:rsidR="00290D2E" w14:paraId="3ABE4C9A" w14:textId="77777777" w:rsidTr="004F7A22">
              <w:trPr>
                <w:trHeight w:val="696"/>
              </w:trPr>
              <w:tc>
                <w:tcPr>
                  <w:tcW w:w="2930" w:type="dxa"/>
                </w:tcPr>
                <w:p w14:paraId="24E4BEAE" w14:textId="77777777" w:rsidR="00290D2E" w:rsidRPr="00225023" w:rsidRDefault="00290D2E" w:rsidP="00290D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AQF Level 9 (Graduate Certificate, Graduate Diploma and Master’s)</w:t>
                  </w:r>
                </w:p>
              </w:tc>
              <w:tc>
                <w:tcPr>
                  <w:tcW w:w="6166" w:type="dxa"/>
                </w:tcPr>
                <w:p w14:paraId="7673DED1" w14:textId="77777777" w:rsidR="00290D2E" w:rsidRDefault="00290D2E" w:rsidP="00290D2E">
                  <w:pPr>
                    <w:pStyle w:val="ListParagraph"/>
                    <w:numPr>
                      <w:ilvl w:val="0"/>
                      <w:numId w:val="4"/>
                    </w:numPr>
                    <w:ind w:left="238" w:hanging="23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 least a PhD qualification (AQF Level 10); or</w:t>
                  </w:r>
                </w:p>
                <w:p w14:paraId="5637EE50" w14:textId="77777777" w:rsidR="00290D2E" w:rsidRPr="00054277" w:rsidRDefault="00290D2E" w:rsidP="00290D2E">
                  <w:pPr>
                    <w:pStyle w:val="ListParagraph"/>
                    <w:numPr>
                      <w:ilvl w:val="0"/>
                      <w:numId w:val="4"/>
                    </w:numPr>
                    <w:ind w:left="238" w:hanging="23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 Master’s degree qualification in related discipline plus at least five years professional experience or equivalent academic or professional practice-base experience and expertise. </w:t>
                  </w:r>
                </w:p>
              </w:tc>
            </w:tr>
          </w:tbl>
          <w:p w14:paraId="4647715F" w14:textId="77777777" w:rsidR="000C2976" w:rsidRPr="000C2976" w:rsidRDefault="000C2976" w:rsidP="000C2976">
            <w:pPr>
              <w:rPr>
                <w:sz w:val="8"/>
                <w:szCs w:val="8"/>
              </w:rPr>
            </w:pPr>
          </w:p>
          <w:p w14:paraId="354AF481" w14:textId="4ED93ADB" w:rsidR="0073736F" w:rsidRPr="00761075" w:rsidRDefault="0073736F" w:rsidP="00576049">
            <w:pPr>
              <w:rPr>
                <w:b/>
                <w:bCs/>
                <w:sz w:val="4"/>
                <w:szCs w:val="4"/>
              </w:rPr>
            </w:pPr>
          </w:p>
        </w:tc>
      </w:tr>
    </w:tbl>
    <w:p w14:paraId="574D4452" w14:textId="77777777" w:rsidR="00A86777" w:rsidRDefault="00A86777" w:rsidP="00DD4E81">
      <w:pPr>
        <w:spacing w:after="0"/>
        <w:rPr>
          <w:b/>
          <w:bCs/>
        </w:rPr>
      </w:pPr>
    </w:p>
    <w:p w14:paraId="082BA00B" w14:textId="7E928D8D" w:rsidR="00DD4E81" w:rsidRPr="0073736F" w:rsidRDefault="00DD4E81" w:rsidP="00DD4E81">
      <w:pPr>
        <w:spacing w:after="0"/>
        <w:rPr>
          <w:b/>
          <w:bCs/>
        </w:rPr>
      </w:pPr>
      <w:r w:rsidRPr="0073736F">
        <w:rPr>
          <w:b/>
          <w:bCs/>
        </w:rPr>
        <w:t>Role Alignment with the UWA Academy Fellowship Scheme (AFS)</w:t>
      </w:r>
    </w:p>
    <w:p w14:paraId="11AC5475" w14:textId="296DCC11" w:rsidR="00DD4E81" w:rsidRPr="00DD4E81" w:rsidRDefault="00DD4E81" w:rsidP="00DD4E81">
      <w:pPr>
        <w:spacing w:after="0"/>
        <w:rPr>
          <w:b/>
          <w:bCs/>
        </w:rPr>
      </w:pPr>
      <w:r w:rsidRPr="0073736F">
        <w:rPr>
          <w:b/>
          <w:bCs/>
        </w:rPr>
        <w:t>Areas of Activity of the Professional Standards Framework (</w:t>
      </w:r>
      <w:proofErr w:type="spellStart"/>
      <w:r w:rsidRPr="0073736F">
        <w:rPr>
          <w:b/>
          <w:bCs/>
        </w:rPr>
        <w:t>AdvanceHE</w:t>
      </w:r>
      <w:proofErr w:type="spellEnd"/>
      <w:r w:rsidRPr="0073736F">
        <w:rPr>
          <w:b/>
          <w:bCs/>
        </w:rPr>
        <w:t xml:space="preserve"> 20</w:t>
      </w:r>
      <w:r w:rsidR="00291F81">
        <w:rPr>
          <w:b/>
          <w:bCs/>
        </w:rPr>
        <w:t>23</w:t>
      </w:r>
      <w:r w:rsidRPr="0073736F">
        <w:rPr>
          <w:b/>
          <w:bCs/>
        </w:rPr>
        <w:t xml:space="preserve">) </w:t>
      </w: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704"/>
        <w:gridCol w:w="8789"/>
      </w:tblGrid>
      <w:tr w:rsidR="00DD4E81" w14:paraId="2491670C" w14:textId="77777777" w:rsidTr="004F7A22">
        <w:tc>
          <w:tcPr>
            <w:tcW w:w="704" w:type="dxa"/>
            <w:shd w:val="clear" w:color="auto" w:fill="D9E2F3" w:themeFill="accent1" w:themeFillTint="33"/>
          </w:tcPr>
          <w:p w14:paraId="1B30C8D3" w14:textId="77777777" w:rsidR="00DD4E81" w:rsidRPr="00E21DFE" w:rsidRDefault="00DD4E81" w:rsidP="0024595F">
            <w:pPr>
              <w:rPr>
                <w:b/>
                <w:bCs/>
              </w:rPr>
            </w:pPr>
            <w:r w:rsidRPr="00E21DFE">
              <w:rPr>
                <w:b/>
                <w:bCs/>
              </w:rPr>
              <w:t>A1</w:t>
            </w:r>
          </w:p>
        </w:tc>
        <w:tc>
          <w:tcPr>
            <w:tcW w:w="8789" w:type="dxa"/>
            <w:shd w:val="clear" w:color="auto" w:fill="D9E2F3" w:themeFill="accent1" w:themeFillTint="33"/>
          </w:tcPr>
          <w:p w14:paraId="39950298" w14:textId="1F5FC266" w:rsidR="00DD4E81" w:rsidRDefault="00DD4E81" w:rsidP="0024595F">
            <w:r>
              <w:t>Design and plan learning activities and/</w:t>
            </w:r>
            <w:r w:rsidR="00F54F28">
              <w:t>or programmes</w:t>
            </w:r>
          </w:p>
        </w:tc>
      </w:tr>
      <w:tr w:rsidR="00DD4E81" w14:paraId="6D36DB69" w14:textId="77777777" w:rsidTr="004F7A22">
        <w:tc>
          <w:tcPr>
            <w:tcW w:w="704" w:type="dxa"/>
            <w:shd w:val="clear" w:color="auto" w:fill="D9E2F3" w:themeFill="accent1" w:themeFillTint="33"/>
          </w:tcPr>
          <w:p w14:paraId="792B0B6D" w14:textId="77777777" w:rsidR="00DD4E81" w:rsidRPr="00E21DFE" w:rsidRDefault="00DD4E81" w:rsidP="0024595F">
            <w:pPr>
              <w:rPr>
                <w:b/>
                <w:bCs/>
              </w:rPr>
            </w:pPr>
            <w:r w:rsidRPr="00E21DFE">
              <w:rPr>
                <w:b/>
                <w:bCs/>
              </w:rPr>
              <w:t>A2</w:t>
            </w:r>
          </w:p>
        </w:tc>
        <w:tc>
          <w:tcPr>
            <w:tcW w:w="8789" w:type="dxa"/>
            <w:shd w:val="clear" w:color="auto" w:fill="D9E2F3" w:themeFill="accent1" w:themeFillTint="33"/>
          </w:tcPr>
          <w:p w14:paraId="03624D29" w14:textId="5AEF8F49" w:rsidR="00DD4E81" w:rsidRDefault="00DD4E81" w:rsidP="0024595F">
            <w:r>
              <w:t>Teach and/or support learning</w:t>
            </w:r>
            <w:r w:rsidR="00F54F28">
              <w:t xml:space="preserve"> through appropriate approaches and environments. </w:t>
            </w:r>
          </w:p>
        </w:tc>
      </w:tr>
      <w:tr w:rsidR="00DD4E81" w14:paraId="0B1085B4" w14:textId="77777777" w:rsidTr="004F7A22">
        <w:tc>
          <w:tcPr>
            <w:tcW w:w="704" w:type="dxa"/>
            <w:shd w:val="clear" w:color="auto" w:fill="D9E2F3" w:themeFill="accent1" w:themeFillTint="33"/>
          </w:tcPr>
          <w:p w14:paraId="6C8C29DA" w14:textId="77777777" w:rsidR="00DD4E81" w:rsidRPr="00E21DFE" w:rsidRDefault="00DD4E81" w:rsidP="0024595F">
            <w:pPr>
              <w:rPr>
                <w:b/>
                <w:bCs/>
              </w:rPr>
            </w:pPr>
            <w:r w:rsidRPr="00E21DFE">
              <w:rPr>
                <w:b/>
                <w:bCs/>
              </w:rPr>
              <w:t>A3</w:t>
            </w:r>
          </w:p>
        </w:tc>
        <w:tc>
          <w:tcPr>
            <w:tcW w:w="8789" w:type="dxa"/>
            <w:shd w:val="clear" w:color="auto" w:fill="D9E2F3" w:themeFill="accent1" w:themeFillTint="33"/>
          </w:tcPr>
          <w:p w14:paraId="582E80D0" w14:textId="37B18B5C" w:rsidR="00DD4E81" w:rsidRDefault="00DD4E81" w:rsidP="0024595F">
            <w:r>
              <w:t>Assess and give feedbac</w:t>
            </w:r>
            <w:r w:rsidR="00F54F28">
              <w:t xml:space="preserve">k for learning. </w:t>
            </w:r>
          </w:p>
        </w:tc>
      </w:tr>
      <w:tr w:rsidR="00DD4E81" w14:paraId="4ACE8F6C" w14:textId="77777777" w:rsidTr="004F7A22">
        <w:tc>
          <w:tcPr>
            <w:tcW w:w="704" w:type="dxa"/>
            <w:shd w:val="clear" w:color="auto" w:fill="D9E2F3" w:themeFill="accent1" w:themeFillTint="33"/>
          </w:tcPr>
          <w:p w14:paraId="13E61193" w14:textId="77777777" w:rsidR="00DD4E81" w:rsidRPr="00E21DFE" w:rsidRDefault="00DD4E81" w:rsidP="0024595F">
            <w:pPr>
              <w:rPr>
                <w:b/>
                <w:bCs/>
              </w:rPr>
            </w:pPr>
            <w:r w:rsidRPr="00E21DFE">
              <w:rPr>
                <w:b/>
                <w:bCs/>
              </w:rPr>
              <w:t>A4</w:t>
            </w:r>
          </w:p>
        </w:tc>
        <w:tc>
          <w:tcPr>
            <w:tcW w:w="8789" w:type="dxa"/>
            <w:shd w:val="clear" w:color="auto" w:fill="D9E2F3" w:themeFill="accent1" w:themeFillTint="33"/>
          </w:tcPr>
          <w:p w14:paraId="7C3CFD4E" w14:textId="313C2D20" w:rsidR="00DD4E81" w:rsidRDefault="00F54F28" w:rsidP="0024595F">
            <w:r>
              <w:t xml:space="preserve">Support and guide learners. </w:t>
            </w:r>
          </w:p>
        </w:tc>
      </w:tr>
      <w:tr w:rsidR="00DD4E81" w14:paraId="7BA9C012" w14:textId="77777777" w:rsidTr="004F7A22">
        <w:tc>
          <w:tcPr>
            <w:tcW w:w="704" w:type="dxa"/>
            <w:shd w:val="clear" w:color="auto" w:fill="D9E2F3" w:themeFill="accent1" w:themeFillTint="33"/>
          </w:tcPr>
          <w:p w14:paraId="71610643" w14:textId="77777777" w:rsidR="00DD4E81" w:rsidRPr="00E21DFE" w:rsidRDefault="00DD4E81" w:rsidP="0024595F">
            <w:pPr>
              <w:rPr>
                <w:b/>
                <w:bCs/>
              </w:rPr>
            </w:pPr>
            <w:r w:rsidRPr="00E21DFE">
              <w:rPr>
                <w:b/>
                <w:bCs/>
              </w:rPr>
              <w:t>A5</w:t>
            </w:r>
          </w:p>
        </w:tc>
        <w:tc>
          <w:tcPr>
            <w:tcW w:w="8789" w:type="dxa"/>
            <w:shd w:val="clear" w:color="auto" w:fill="D9E2F3" w:themeFill="accent1" w:themeFillTint="33"/>
          </w:tcPr>
          <w:p w14:paraId="323A24FD" w14:textId="6C9C0342" w:rsidR="00DD4E81" w:rsidRDefault="00F54F28" w:rsidP="0024595F">
            <w:r>
              <w:t>Enhance practice through own continuing professional development</w:t>
            </w:r>
          </w:p>
        </w:tc>
      </w:tr>
    </w:tbl>
    <w:p w14:paraId="4ACB535C" w14:textId="77777777" w:rsidR="00ED74D2" w:rsidRDefault="00ED74D2" w:rsidP="00533782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B1887" w14:paraId="2CC83EF8" w14:textId="77777777" w:rsidTr="004F7A22">
        <w:tc>
          <w:tcPr>
            <w:tcW w:w="9493" w:type="dxa"/>
            <w:shd w:val="clear" w:color="auto" w:fill="D9E2F3" w:themeFill="accent1" w:themeFillTint="33"/>
          </w:tcPr>
          <w:p w14:paraId="00C1FB09" w14:textId="204138B9" w:rsidR="002B1887" w:rsidRDefault="001D02CF" w:rsidP="002459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Expectations of </w:t>
            </w:r>
            <w:r w:rsidR="002B1887" w:rsidRPr="0073736F">
              <w:rPr>
                <w:b/>
                <w:bCs/>
              </w:rPr>
              <w:t xml:space="preserve">Unit Coordinator </w:t>
            </w:r>
            <w:r w:rsidR="00F81E4A">
              <w:rPr>
                <w:b/>
                <w:bCs/>
              </w:rPr>
              <w:t>(Tasks and Responsibilities)</w:t>
            </w:r>
          </w:p>
        </w:tc>
      </w:tr>
      <w:tr w:rsidR="002B1887" w14:paraId="277C4DA4" w14:textId="77777777" w:rsidTr="004F7A22">
        <w:tc>
          <w:tcPr>
            <w:tcW w:w="9493" w:type="dxa"/>
          </w:tcPr>
          <w:p w14:paraId="73F10C8A" w14:textId="29D1F332" w:rsidR="002B1887" w:rsidRDefault="002B1887" w:rsidP="0024595F">
            <w:r w:rsidRPr="00533782">
              <w:t>A UC actively guide</w:t>
            </w:r>
            <w:r w:rsidR="00EC1F32">
              <w:t>s</w:t>
            </w:r>
            <w:r w:rsidRPr="00533782">
              <w:t xml:space="preserve"> student learning through provision of </w:t>
            </w:r>
            <w:r w:rsidR="0090655E">
              <w:t xml:space="preserve">high </w:t>
            </w:r>
            <w:r w:rsidRPr="00533782">
              <w:t>quality and relevant unit aims, learning outcomes, content, delivery, assessment, feedback, moderation, record-keeping, review and evaluation. UCs must clearly advise students on all aspects of unit learning</w:t>
            </w:r>
            <w:r w:rsidR="002002D3">
              <w:t xml:space="preserve"> and</w:t>
            </w:r>
            <w:r w:rsidRPr="00533782">
              <w:t xml:space="preserve"> delivery including relationships between outcomes and assessments, and precise assessment</w:t>
            </w:r>
            <w:r w:rsidR="002002D3">
              <w:t xml:space="preserve"> </w:t>
            </w:r>
            <w:r w:rsidRPr="00533782">
              <w:t>requirements, weightings</w:t>
            </w:r>
            <w:r w:rsidR="00311014">
              <w:t>,</w:t>
            </w:r>
            <w:r w:rsidRPr="00533782">
              <w:t xml:space="preserve"> and mechanisms.</w:t>
            </w:r>
            <w:r w:rsidR="001D02CF">
              <w:t xml:space="preserve"> The task and responsibilities are undertaken with appropriate support determined by schools.</w:t>
            </w:r>
          </w:p>
          <w:p w14:paraId="6548D971" w14:textId="77777777" w:rsidR="00E23F9E" w:rsidRDefault="00E23F9E" w:rsidP="0024595F"/>
          <w:p w14:paraId="19247A80" w14:textId="29AF2A5B" w:rsidR="00E23F9E" w:rsidRPr="00533782" w:rsidRDefault="00E23F9E" w:rsidP="0024595F">
            <w:r>
              <w:t>W</w:t>
            </w:r>
            <w:r w:rsidRPr="00E23F9E">
              <w:t>here teaching is delivered by members of a teaching team, the Unit Coordinator is responsible for quality assurance of the team and their roles, which may also be shared by co-coordinators.</w:t>
            </w:r>
          </w:p>
        </w:tc>
      </w:tr>
    </w:tbl>
    <w:p w14:paraId="7995097C" w14:textId="0129C7C2" w:rsidR="00E91430" w:rsidRPr="00E91430" w:rsidRDefault="009A613F" w:rsidP="00576049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lastRenderedPageBreak/>
        <w:t>Noting the diversity in school operations, a</w:t>
      </w:r>
      <w:r w:rsidR="00E91430" w:rsidRPr="00E91430">
        <w:rPr>
          <w:b/>
          <w:bCs/>
          <w:color w:val="000000" w:themeColor="text1"/>
          <w:u w:val="single"/>
        </w:rPr>
        <w:t xml:space="preserve"> Unit Coordinator should: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47E35" w14:paraId="656DAE8B" w14:textId="77777777" w:rsidTr="004F7A22">
        <w:tc>
          <w:tcPr>
            <w:tcW w:w="9493" w:type="dxa"/>
            <w:shd w:val="clear" w:color="auto" w:fill="D9E2F3" w:themeFill="accent1" w:themeFillTint="33"/>
          </w:tcPr>
          <w:p w14:paraId="2F12204B" w14:textId="3E524E7E" w:rsidR="00547E35" w:rsidRDefault="00547E35" w:rsidP="00576049">
            <w:pPr>
              <w:rPr>
                <w:b/>
                <w:bCs/>
              </w:rPr>
            </w:pPr>
            <w:r>
              <w:rPr>
                <w:b/>
                <w:bCs/>
              </w:rPr>
              <w:t>Unit Design (A1)</w:t>
            </w:r>
          </w:p>
        </w:tc>
      </w:tr>
      <w:tr w:rsidR="00547E35" w14:paraId="6533639C" w14:textId="77777777" w:rsidTr="004F7A22">
        <w:tc>
          <w:tcPr>
            <w:tcW w:w="9493" w:type="dxa"/>
          </w:tcPr>
          <w:p w14:paraId="3BCDE768" w14:textId="55BDD76D" w:rsidR="00547E35" w:rsidRPr="00547E35" w:rsidRDefault="00547E35" w:rsidP="00576049">
            <w:r>
              <w:t>Comply with University policies and guidelines related to teaching, including study hours (i.e.,</w:t>
            </w:r>
            <w:r w:rsidR="00F805BF">
              <w:t xml:space="preserve"> </w:t>
            </w:r>
            <w:r>
              <w:t>150 hours for a 6-point unit)</w:t>
            </w:r>
            <w:r w:rsidR="00571082">
              <w:t>.</w:t>
            </w:r>
            <w:r w:rsidR="00546CBB" w:rsidRPr="00E04262">
              <w:rPr>
                <w:i/>
                <w:iCs/>
              </w:rPr>
              <w:t xml:space="preserve"> University Policy on Coursework Units</w:t>
            </w:r>
            <w:r w:rsidR="00546CBB">
              <w:t xml:space="preserve">. </w:t>
            </w:r>
            <w:r w:rsidR="00546CBB">
              <w:rPr>
                <w:vertAlign w:val="superscript"/>
              </w:rPr>
              <w:t>b</w:t>
            </w:r>
          </w:p>
        </w:tc>
      </w:tr>
      <w:tr w:rsidR="00547E35" w14:paraId="1DB0B998" w14:textId="77777777" w:rsidTr="004F7A22">
        <w:tc>
          <w:tcPr>
            <w:tcW w:w="9493" w:type="dxa"/>
          </w:tcPr>
          <w:p w14:paraId="7F8147E9" w14:textId="56B9E497" w:rsidR="00E04262" w:rsidRPr="00547E35" w:rsidRDefault="00547E35" w:rsidP="00576049">
            <w:r>
              <w:t>S</w:t>
            </w:r>
            <w:r w:rsidR="00E04262">
              <w:t>et and revise unit learning outcomes.</w:t>
            </w:r>
          </w:p>
        </w:tc>
      </w:tr>
      <w:tr w:rsidR="00D27031" w14:paraId="13865970" w14:textId="77777777" w:rsidTr="004F7A22">
        <w:tc>
          <w:tcPr>
            <w:tcW w:w="9493" w:type="dxa"/>
          </w:tcPr>
          <w:p w14:paraId="30FDCBF6" w14:textId="044D93A0" w:rsidR="00D27031" w:rsidRDefault="00B07448" w:rsidP="00D27031">
            <w:r>
              <w:t>A</w:t>
            </w:r>
            <w:r w:rsidR="00D27031" w:rsidRPr="005D1286">
              <w:t>dvi</w:t>
            </w:r>
            <w:r w:rsidR="00D27031">
              <w:t>s</w:t>
            </w:r>
            <w:r w:rsidR="00D27031" w:rsidRPr="005D1286">
              <w:t>e students about the aims and learning outcomes of the unit</w:t>
            </w:r>
            <w:r w:rsidR="00D27031">
              <w:t>.</w:t>
            </w:r>
          </w:p>
        </w:tc>
      </w:tr>
      <w:tr w:rsidR="002002D3" w14:paraId="144C345C" w14:textId="77777777" w:rsidTr="004F7A22">
        <w:tc>
          <w:tcPr>
            <w:tcW w:w="9493" w:type="dxa"/>
          </w:tcPr>
          <w:p w14:paraId="5EE863DE" w14:textId="37179341" w:rsidR="002002D3" w:rsidRDefault="0034721A" w:rsidP="0034721A">
            <w:r w:rsidRPr="00836CDC">
              <w:t xml:space="preserve">Manage unit quality </w:t>
            </w:r>
            <w:r>
              <w:t xml:space="preserve">(including consideration of student feedback) through regular review of content/currency of content, and delivery, to comply with the </w:t>
            </w:r>
            <w:r w:rsidRPr="00E04262">
              <w:rPr>
                <w:i/>
                <w:iCs/>
              </w:rPr>
              <w:t>University Policy on Coursework Units</w:t>
            </w:r>
            <w:r>
              <w:t>.</w:t>
            </w:r>
          </w:p>
        </w:tc>
      </w:tr>
      <w:tr w:rsidR="00547E35" w14:paraId="45197483" w14:textId="77777777" w:rsidTr="004F7A22">
        <w:tc>
          <w:tcPr>
            <w:tcW w:w="9493" w:type="dxa"/>
          </w:tcPr>
          <w:p w14:paraId="19BB64DF" w14:textId="4CDE3A40" w:rsidR="00547E35" w:rsidRPr="0019693C" w:rsidRDefault="00E04262" w:rsidP="00576049">
            <w:r w:rsidRPr="008F50F2">
              <w:t xml:space="preserve">Complete and make available </w:t>
            </w:r>
            <w:r w:rsidR="00A50650">
              <w:t>a</w:t>
            </w:r>
            <w:r w:rsidRPr="008F50F2">
              <w:t xml:space="preserve"> </w:t>
            </w:r>
            <w:r w:rsidR="00977BF1" w:rsidRPr="008F50F2">
              <w:t>U</w:t>
            </w:r>
            <w:r w:rsidRPr="008F50F2">
              <w:t xml:space="preserve">nit </w:t>
            </w:r>
            <w:r w:rsidR="00977BF1" w:rsidRPr="008F50F2">
              <w:t>O</w:t>
            </w:r>
            <w:r w:rsidRPr="008F50F2">
              <w:t>utline</w:t>
            </w:r>
            <w:r w:rsidR="001606EB" w:rsidRPr="008F50F2">
              <w:t xml:space="preserve">, </w:t>
            </w:r>
            <w:r w:rsidR="00F01E1E" w:rsidRPr="008F50F2">
              <w:t xml:space="preserve">in alignment with the </w:t>
            </w:r>
            <w:r w:rsidR="00F01E1E" w:rsidRPr="008F50F2">
              <w:rPr>
                <w:i/>
                <w:iCs/>
              </w:rPr>
              <w:t>University Policy on Assessment (5.2(10)).</w:t>
            </w:r>
            <w:r w:rsidR="0019693C" w:rsidRPr="008F50F2">
              <w:rPr>
                <w:vertAlign w:val="superscript"/>
              </w:rPr>
              <w:t xml:space="preserve"> a</w:t>
            </w:r>
          </w:p>
        </w:tc>
      </w:tr>
      <w:tr w:rsidR="00547E35" w14:paraId="2A760AA0" w14:textId="77777777" w:rsidTr="004F7A22">
        <w:tc>
          <w:tcPr>
            <w:tcW w:w="9493" w:type="dxa"/>
          </w:tcPr>
          <w:p w14:paraId="36BDCD34" w14:textId="18CFB7D6" w:rsidR="00547E35" w:rsidRPr="00547E35" w:rsidRDefault="00E04262" w:rsidP="00576049">
            <w:r>
              <w:t xml:space="preserve">Liaise with </w:t>
            </w:r>
            <w:r w:rsidR="005D153A">
              <w:t>M</w:t>
            </w:r>
            <w:r>
              <w:t>ajor/</w:t>
            </w:r>
            <w:r w:rsidR="005D153A">
              <w:t>C</w:t>
            </w:r>
            <w:r>
              <w:t xml:space="preserve">ourse </w:t>
            </w:r>
            <w:r w:rsidR="00874F3B">
              <w:t>Co</w:t>
            </w:r>
            <w:r>
              <w:t>ordinator</w:t>
            </w:r>
            <w:r w:rsidR="00A2135D">
              <w:t>(s)</w:t>
            </w:r>
            <w:r w:rsidR="00874F3B">
              <w:t xml:space="preserve"> and other </w:t>
            </w:r>
            <w:r w:rsidR="00872D6A">
              <w:t>UCs</w:t>
            </w:r>
            <w:r w:rsidR="00874F3B">
              <w:t xml:space="preserve"> to ensure unit content scaffolding and appropriate skill/knowledge development within a major/course. </w:t>
            </w:r>
            <w:r w:rsidR="005D153A" w:rsidRPr="005D153A">
              <w:rPr>
                <w:vertAlign w:val="superscript"/>
              </w:rPr>
              <w:t>c</w:t>
            </w:r>
          </w:p>
        </w:tc>
      </w:tr>
      <w:tr w:rsidR="00874F3B" w14:paraId="5F292880" w14:textId="77777777" w:rsidTr="004F7A22">
        <w:tc>
          <w:tcPr>
            <w:tcW w:w="9493" w:type="dxa"/>
          </w:tcPr>
          <w:p w14:paraId="00F55777" w14:textId="1D6E7CE9" w:rsidR="00874F3B" w:rsidRDefault="00874F3B" w:rsidP="00576049">
            <w:r>
              <w:t xml:space="preserve">Minimise duplication of content within a unit and </w:t>
            </w:r>
            <w:r w:rsidR="005304FD">
              <w:t xml:space="preserve">report duplication </w:t>
            </w:r>
            <w:r>
              <w:t>across major</w:t>
            </w:r>
            <w:r w:rsidR="00A2135D">
              <w:t>(s)</w:t>
            </w:r>
            <w:r>
              <w:t>/</w:t>
            </w:r>
            <w:r w:rsidR="00E00180">
              <w:t>c</w:t>
            </w:r>
            <w:r>
              <w:t>ourse</w:t>
            </w:r>
            <w:r w:rsidR="00A2135D">
              <w:t>(s)</w:t>
            </w:r>
            <w:r>
              <w:t xml:space="preserve">, in accordance with the </w:t>
            </w:r>
            <w:r w:rsidRPr="00C00B80">
              <w:t>U</w:t>
            </w:r>
            <w:r w:rsidRPr="00C00B80">
              <w:rPr>
                <w:i/>
                <w:iCs/>
              </w:rPr>
              <w:t>niversity Policy on Coursework Units</w:t>
            </w:r>
            <w:r w:rsidR="00CF21CE">
              <w:t>.</w:t>
            </w:r>
            <w:r w:rsidR="00D77F2C">
              <w:t xml:space="preserve"> </w:t>
            </w:r>
            <w:r w:rsidR="00B476DF">
              <w:rPr>
                <w:vertAlign w:val="superscript"/>
              </w:rPr>
              <w:t>b</w:t>
            </w:r>
          </w:p>
        </w:tc>
      </w:tr>
      <w:tr w:rsidR="00A2135D" w14:paraId="7B52C37E" w14:textId="77777777" w:rsidTr="004F7A22">
        <w:tc>
          <w:tcPr>
            <w:tcW w:w="9493" w:type="dxa"/>
          </w:tcPr>
          <w:p w14:paraId="3BC47895" w14:textId="3AE119F2" w:rsidR="00A2135D" w:rsidRDefault="00CA22DB" w:rsidP="00A2135D">
            <w:r>
              <w:t>Design</w:t>
            </w:r>
            <w:r w:rsidR="00A2135D" w:rsidRPr="00AF4C07">
              <w:t xml:space="preserve"> learning activities</w:t>
            </w:r>
            <w:r>
              <w:t xml:space="preserve"> that</w:t>
            </w:r>
            <w:r w:rsidR="00A2135D" w:rsidRPr="00AF4C07">
              <w:t xml:space="preserve"> </w:t>
            </w:r>
            <w:r w:rsidR="00A2135D">
              <w:t>are</w:t>
            </w:r>
            <w:r>
              <w:t xml:space="preserve"> effective,</w:t>
            </w:r>
            <w:r w:rsidR="00A2135D">
              <w:t xml:space="preserve"> inclusive</w:t>
            </w:r>
            <w:r w:rsidR="001D02CF">
              <w:t xml:space="preserve">, accessible </w:t>
            </w:r>
            <w:r w:rsidR="00A2135D">
              <w:t xml:space="preserve">and </w:t>
            </w:r>
            <w:r w:rsidR="00A2135D" w:rsidRPr="00AF4C07">
              <w:t xml:space="preserve">comply </w:t>
            </w:r>
            <w:r w:rsidR="00BC4A5D">
              <w:t xml:space="preserve">with </w:t>
            </w:r>
            <w:r w:rsidR="00A2135D">
              <w:t xml:space="preserve">the </w:t>
            </w:r>
            <w:r w:rsidR="00A2135D">
              <w:rPr>
                <w:i/>
                <w:iCs/>
              </w:rPr>
              <w:t>University Safety and Health Policy</w:t>
            </w:r>
            <w:r w:rsidR="00A2135D" w:rsidRPr="00AF4C07">
              <w:t>.</w:t>
            </w:r>
          </w:p>
        </w:tc>
      </w:tr>
      <w:tr w:rsidR="000B5DA1" w14:paraId="1DE3F6E5" w14:textId="77777777" w:rsidTr="004F7A22">
        <w:tc>
          <w:tcPr>
            <w:tcW w:w="9493" w:type="dxa"/>
          </w:tcPr>
          <w:p w14:paraId="33820419" w14:textId="4F1DF481" w:rsidR="000B5DA1" w:rsidRDefault="000B5DA1" w:rsidP="00576049">
            <w:r>
              <w:t xml:space="preserve">Review and </w:t>
            </w:r>
            <w:r w:rsidR="008650E0">
              <w:t>fulfil</w:t>
            </w:r>
            <w:r>
              <w:t xml:space="preserve"> curriculum change process requirements, in accordance with the </w:t>
            </w:r>
            <w:r w:rsidRPr="000B5DA1">
              <w:rPr>
                <w:i/>
                <w:iCs/>
              </w:rPr>
              <w:t>University Policy on Coursework Units</w:t>
            </w:r>
            <w:r w:rsidR="00C00B80">
              <w:rPr>
                <w:i/>
                <w:iCs/>
              </w:rPr>
              <w:t xml:space="preserve"> (4.6, 4.7)</w:t>
            </w:r>
            <w:r>
              <w:t>.</w:t>
            </w:r>
          </w:p>
        </w:tc>
      </w:tr>
      <w:tr w:rsidR="000B5DA1" w14:paraId="20C1F652" w14:textId="77777777" w:rsidTr="004F7A22">
        <w:tc>
          <w:tcPr>
            <w:tcW w:w="9493" w:type="dxa"/>
            <w:shd w:val="clear" w:color="auto" w:fill="D9E2F3" w:themeFill="accent1" w:themeFillTint="33"/>
          </w:tcPr>
          <w:p w14:paraId="6BBBDAB3" w14:textId="70E943C0" w:rsidR="000B5DA1" w:rsidRPr="000B5DA1" w:rsidRDefault="000B5DA1" w:rsidP="00576049">
            <w:pPr>
              <w:rPr>
                <w:b/>
                <w:bCs/>
              </w:rPr>
            </w:pPr>
            <w:bookmarkStart w:id="0" w:name="_Hlk130555412"/>
            <w:r w:rsidRPr="000B5DA1">
              <w:rPr>
                <w:b/>
                <w:bCs/>
              </w:rPr>
              <w:t>Learning and Teaching (A2)</w:t>
            </w:r>
          </w:p>
        </w:tc>
      </w:tr>
      <w:bookmarkEnd w:id="0"/>
      <w:tr w:rsidR="000B5DA1" w14:paraId="118B1C46" w14:textId="77777777" w:rsidTr="004F7A22">
        <w:tc>
          <w:tcPr>
            <w:tcW w:w="9493" w:type="dxa"/>
          </w:tcPr>
          <w:p w14:paraId="6E6E1E3E" w14:textId="6176734B" w:rsidR="000B5DA1" w:rsidRDefault="009F3115" w:rsidP="00576049">
            <w:r>
              <w:t xml:space="preserve">Liaise with relevant staff (e.g., </w:t>
            </w:r>
            <w:r w:rsidR="00546CBB">
              <w:t xml:space="preserve">Educational Enhancement Unit, </w:t>
            </w:r>
            <w:r>
              <w:t>Teaching Operations, School Operations, College Services) regarding teaching, timetabling and the Class Allocation System (CAS).</w:t>
            </w:r>
          </w:p>
        </w:tc>
      </w:tr>
      <w:tr w:rsidR="000B5DA1" w14:paraId="738CDDF8" w14:textId="77777777" w:rsidTr="004F7A22">
        <w:tc>
          <w:tcPr>
            <w:tcW w:w="9493" w:type="dxa"/>
          </w:tcPr>
          <w:p w14:paraId="56BB893D" w14:textId="6CBB6790" w:rsidR="000B5DA1" w:rsidRDefault="000B5DA1" w:rsidP="00576049">
            <w:r>
              <w:t>Develop/oversee unit teaching activities in and out of the classroom (e.g., lab work, fieldwork, visits) that comply with Occupational Health and Safety (OHS) and relevant University Polic</w:t>
            </w:r>
            <w:r w:rsidR="00C91FFF">
              <w:t>ies</w:t>
            </w:r>
            <w:r>
              <w:t xml:space="preserve">. </w:t>
            </w:r>
          </w:p>
        </w:tc>
      </w:tr>
      <w:tr w:rsidR="000B5DA1" w14:paraId="71712BBF" w14:textId="77777777" w:rsidTr="004F7A22">
        <w:tc>
          <w:tcPr>
            <w:tcW w:w="9493" w:type="dxa"/>
          </w:tcPr>
          <w:p w14:paraId="20838AD1" w14:textId="1168F60F" w:rsidR="000B5DA1" w:rsidRPr="003002A3" w:rsidRDefault="000B5DA1" w:rsidP="00576049">
            <w:r w:rsidRPr="003002A3">
              <w:t xml:space="preserve">Oversee curation of the </w:t>
            </w:r>
            <w:r w:rsidR="00F733E1">
              <w:t>unit learning site</w:t>
            </w:r>
            <w:r w:rsidRPr="003002A3">
              <w:t xml:space="preserve"> and</w:t>
            </w:r>
            <w:r w:rsidR="00F733E1">
              <w:t>/or</w:t>
            </w:r>
            <w:r w:rsidRPr="003002A3">
              <w:t xml:space="preserve"> any other relevant sites (</w:t>
            </w:r>
            <w:r w:rsidR="005F3967">
              <w:t>e.g.,</w:t>
            </w:r>
            <w:r w:rsidRPr="003002A3">
              <w:t xml:space="preserve"> </w:t>
            </w:r>
            <w:r w:rsidR="00F733E1">
              <w:t xml:space="preserve">LMS, </w:t>
            </w:r>
            <w:r w:rsidRPr="003002A3">
              <w:t>MS Teams) for the unit</w:t>
            </w:r>
            <w:r w:rsidR="00A76F22" w:rsidRPr="003002A3">
              <w:t xml:space="preserve">, in accordance with </w:t>
            </w:r>
            <w:r w:rsidR="003002A3" w:rsidRPr="003002A3">
              <w:rPr>
                <w:i/>
                <w:iCs/>
              </w:rPr>
              <w:t>University Policy on Assessment (5.2(10)).</w:t>
            </w:r>
          </w:p>
        </w:tc>
      </w:tr>
      <w:tr w:rsidR="000B5DA1" w14:paraId="2B185175" w14:textId="77777777" w:rsidTr="004F7A22">
        <w:tc>
          <w:tcPr>
            <w:tcW w:w="9493" w:type="dxa"/>
          </w:tcPr>
          <w:p w14:paraId="4A52A85A" w14:textId="48D3D697" w:rsidR="000B5DA1" w:rsidRDefault="000B5DA1" w:rsidP="00576049">
            <w:r>
              <w:t xml:space="preserve">Ensure </w:t>
            </w:r>
            <w:r w:rsidR="00023B02">
              <w:t>unit resources</w:t>
            </w:r>
            <w:r w:rsidR="00CE3A83">
              <w:t xml:space="preserve"> are available to all enrolled students,</w:t>
            </w:r>
            <w:r w:rsidR="00023B02">
              <w:t xml:space="preserve"> including</w:t>
            </w:r>
            <w:r>
              <w:t xml:space="preserve">: </w:t>
            </w:r>
          </w:p>
          <w:p w14:paraId="179810E8" w14:textId="5BD66CCD" w:rsidR="000B5DA1" w:rsidRDefault="000B5DA1" w:rsidP="00CB401A">
            <w:pPr>
              <w:pStyle w:val="ListParagraph"/>
              <w:numPr>
                <w:ilvl w:val="0"/>
                <w:numId w:val="5"/>
              </w:numPr>
              <w:ind w:left="463" w:hanging="283"/>
            </w:pPr>
            <w:r>
              <w:t xml:space="preserve">contact </w:t>
            </w:r>
            <w:r w:rsidRPr="00770AF7">
              <w:t xml:space="preserve">details </w:t>
            </w:r>
            <w:r w:rsidR="003311A6" w:rsidRPr="00770AF7">
              <w:t xml:space="preserve">and consultation times </w:t>
            </w:r>
            <w:r w:rsidRPr="00770AF7">
              <w:t>for</w:t>
            </w:r>
            <w:r>
              <w:t xml:space="preserve"> teaching staff</w:t>
            </w:r>
          </w:p>
          <w:p w14:paraId="3BAF7E1D" w14:textId="14ACB954" w:rsidR="000B5DA1" w:rsidRDefault="0003423E" w:rsidP="00CB401A">
            <w:pPr>
              <w:pStyle w:val="ListParagraph"/>
              <w:numPr>
                <w:ilvl w:val="0"/>
                <w:numId w:val="5"/>
              </w:numPr>
              <w:ind w:left="463" w:hanging="283"/>
            </w:pPr>
            <w:r>
              <w:t xml:space="preserve">details of </w:t>
            </w:r>
            <w:r w:rsidR="000B5DA1">
              <w:t>the text(s) and all relevant unit readings</w:t>
            </w:r>
          </w:p>
          <w:p w14:paraId="4FFBDA51" w14:textId="252302FA" w:rsidR="000B5DA1" w:rsidRDefault="000B5DA1" w:rsidP="00CB401A">
            <w:pPr>
              <w:pStyle w:val="ListParagraph"/>
              <w:numPr>
                <w:ilvl w:val="0"/>
                <w:numId w:val="5"/>
              </w:numPr>
              <w:ind w:left="463" w:hanging="283"/>
            </w:pPr>
            <w:r>
              <w:t>any additional material students would be expected to read, e.g., professional standards</w:t>
            </w:r>
          </w:p>
          <w:p w14:paraId="50175B59" w14:textId="329B972E" w:rsidR="000B5DA1" w:rsidRDefault="000B5DA1" w:rsidP="00CB401A">
            <w:pPr>
              <w:pStyle w:val="ListParagraph"/>
              <w:numPr>
                <w:ilvl w:val="0"/>
                <w:numId w:val="5"/>
              </w:numPr>
              <w:ind w:left="463" w:hanging="283"/>
            </w:pPr>
            <w:r>
              <w:t>any other relevant unit-specific resources</w:t>
            </w:r>
            <w:r w:rsidR="00CE3A83">
              <w:t xml:space="preserve"> such as handouts, notes, etc</w:t>
            </w:r>
            <w:r w:rsidR="00023B02">
              <w:t>.</w:t>
            </w:r>
          </w:p>
        </w:tc>
      </w:tr>
      <w:tr w:rsidR="005800BA" w14:paraId="498BD171" w14:textId="77777777" w:rsidTr="004F7A22">
        <w:tc>
          <w:tcPr>
            <w:tcW w:w="9493" w:type="dxa"/>
          </w:tcPr>
          <w:p w14:paraId="4CA0A2A1" w14:textId="48EB9713" w:rsidR="005800BA" w:rsidRDefault="005800BA" w:rsidP="00576049">
            <w:r w:rsidRPr="0067099C">
              <w:t>Regularly communicate and liaise with students regarding unit matters</w:t>
            </w:r>
            <w:r w:rsidR="003A329D" w:rsidRPr="0067099C">
              <w:t xml:space="preserve">, including </w:t>
            </w:r>
            <w:r w:rsidR="00897523" w:rsidRPr="0067099C">
              <w:t xml:space="preserve">providing </w:t>
            </w:r>
            <w:r w:rsidR="003A329D" w:rsidRPr="0067099C">
              <w:t>responses to student queries</w:t>
            </w:r>
            <w:r w:rsidR="00897523" w:rsidRPr="0067099C">
              <w:t xml:space="preserve"> </w:t>
            </w:r>
            <w:r w:rsidR="0067099C" w:rsidRPr="0067099C">
              <w:t xml:space="preserve">within </w:t>
            </w:r>
            <w:r w:rsidR="00A3076D">
              <w:t>3</w:t>
            </w:r>
            <w:r w:rsidR="00897523" w:rsidRPr="0067099C">
              <w:t xml:space="preserve"> UWA business days</w:t>
            </w:r>
            <w:r w:rsidR="00A3076D">
              <w:t>, where possible</w:t>
            </w:r>
            <w:r w:rsidR="0067099C" w:rsidRPr="0067099C">
              <w:t>.</w:t>
            </w:r>
          </w:p>
        </w:tc>
      </w:tr>
      <w:tr w:rsidR="00643239" w14:paraId="2F7DEF3C" w14:textId="77777777" w:rsidTr="004F7A22">
        <w:tc>
          <w:tcPr>
            <w:tcW w:w="9493" w:type="dxa"/>
          </w:tcPr>
          <w:p w14:paraId="46686F2D" w14:textId="0F5BF884" w:rsidR="00643239" w:rsidRPr="0067099C" w:rsidRDefault="00643239" w:rsidP="00A93D73">
            <w:pPr>
              <w:rPr>
                <w:rFonts w:cstheme="minorHAnsi"/>
                <w:i/>
                <w:iCs/>
                <w:color w:val="000000" w:themeColor="text1"/>
                <w:lang w:val="en-GB"/>
              </w:rPr>
            </w:pPr>
            <w:r w:rsidRPr="0067099C">
              <w:rPr>
                <w:rFonts w:cstheme="minorHAnsi"/>
                <w:color w:val="000000" w:themeColor="text1"/>
              </w:rPr>
              <w:t>Oversee the provision of final unit results to the Board of Examiners</w:t>
            </w:r>
            <w:r w:rsidR="00860612" w:rsidRPr="0067099C">
              <w:rPr>
                <w:rFonts w:cstheme="minorHAnsi"/>
                <w:color w:val="000000" w:themeColor="text1"/>
              </w:rPr>
              <w:t xml:space="preserve"> and ensure correct results are uploaded before release to students.</w:t>
            </w:r>
            <w:r w:rsidR="00996014" w:rsidRPr="0067099C">
              <w:rPr>
                <w:rFonts w:cstheme="minorHAnsi"/>
                <w:color w:val="000000" w:themeColor="text1"/>
              </w:rPr>
              <w:t xml:space="preserve"> </w:t>
            </w:r>
            <w:r w:rsidR="004A7B6B" w:rsidRPr="004A7B6B">
              <w:rPr>
                <w:rFonts w:cstheme="minorHAnsi"/>
                <w:color w:val="000000" w:themeColor="text1"/>
                <w:lang w:val="en-GB"/>
              </w:rPr>
              <w:t>Note the need for submission of</w:t>
            </w:r>
            <w:r w:rsidR="004A7B6B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4A7B6B" w:rsidRPr="004A7B6B">
              <w:rPr>
                <w:rFonts w:cstheme="minorHAnsi"/>
                <w:color w:val="000000" w:themeColor="text1"/>
                <w:lang w:val="en-GB"/>
              </w:rPr>
              <w:t>amended result i</w:t>
            </w:r>
            <w:r w:rsidR="004A7B6B">
              <w:rPr>
                <w:rFonts w:cstheme="minorHAnsi"/>
                <w:color w:val="000000" w:themeColor="text1"/>
                <w:lang w:val="en-GB"/>
              </w:rPr>
              <w:t>f</w:t>
            </w:r>
            <w:r w:rsidR="004A7B6B" w:rsidRPr="004A7B6B">
              <w:rPr>
                <w:rFonts w:cstheme="minorHAnsi"/>
                <w:color w:val="000000" w:themeColor="text1"/>
                <w:lang w:val="en-GB"/>
              </w:rPr>
              <w:t xml:space="preserve"> a change occurs</w:t>
            </w:r>
            <w:r w:rsidR="004A7B6B">
              <w:rPr>
                <w:rFonts w:cstheme="minorHAnsi"/>
                <w:color w:val="000000" w:themeColor="text1"/>
                <w:lang w:val="en-GB"/>
              </w:rPr>
              <w:t xml:space="preserve"> following results upload (e.g., </w:t>
            </w:r>
            <w:r w:rsidR="00996014" w:rsidRPr="0067099C">
              <w:rPr>
                <w:rFonts w:cstheme="minorHAnsi"/>
                <w:color w:val="000000" w:themeColor="text1"/>
              </w:rPr>
              <w:t xml:space="preserve">LARF </w:t>
            </w:r>
            <w:r w:rsidR="004A7B6B">
              <w:rPr>
                <w:rFonts w:cstheme="minorHAnsi"/>
                <w:color w:val="000000" w:themeColor="text1"/>
              </w:rPr>
              <w:t xml:space="preserve">- </w:t>
            </w:r>
            <w:r w:rsidR="00996014" w:rsidRPr="0067099C">
              <w:rPr>
                <w:rFonts w:cstheme="minorHAnsi"/>
                <w:color w:val="000000" w:themeColor="text1"/>
                <w:lang w:val="en-GB"/>
              </w:rPr>
              <w:t xml:space="preserve">Late or Amended Results </w:t>
            </w:r>
            <w:r w:rsidR="006A3122" w:rsidRPr="0067099C">
              <w:rPr>
                <w:rFonts w:cstheme="minorHAnsi"/>
                <w:color w:val="000000" w:themeColor="text1"/>
                <w:lang w:val="en-GB"/>
              </w:rPr>
              <w:t>Form</w:t>
            </w:r>
            <w:r w:rsidR="00996014" w:rsidRPr="0067099C">
              <w:rPr>
                <w:rFonts w:cstheme="minorHAnsi"/>
                <w:color w:val="000000" w:themeColor="text1"/>
                <w:lang w:val="en-GB"/>
              </w:rPr>
              <w:t xml:space="preserve">) submission. </w:t>
            </w:r>
            <w:r w:rsidR="00872D6A">
              <w:rPr>
                <w:rFonts w:cstheme="minorHAnsi"/>
                <w:color w:val="000000" w:themeColor="text1"/>
                <w:lang w:val="en-GB"/>
              </w:rPr>
              <w:t>UC should ensure s</w:t>
            </w:r>
            <w:r w:rsidR="00996014" w:rsidRPr="0067099C">
              <w:rPr>
                <w:rFonts w:cstheme="minorHAnsi"/>
                <w:color w:val="000000" w:themeColor="text1"/>
                <w:lang w:val="en-GB"/>
              </w:rPr>
              <w:t xml:space="preserve">tudents who have had an incorrect result released </w:t>
            </w:r>
            <w:r w:rsidR="00872D6A">
              <w:rPr>
                <w:rFonts w:cstheme="minorHAnsi"/>
                <w:color w:val="000000" w:themeColor="text1"/>
                <w:lang w:val="en-GB"/>
              </w:rPr>
              <w:t>are notified</w:t>
            </w:r>
            <w:r w:rsidR="00996014" w:rsidRPr="0067099C">
              <w:rPr>
                <w:rFonts w:cstheme="minorHAnsi"/>
                <w:color w:val="000000" w:themeColor="text1"/>
                <w:lang w:val="en-GB"/>
              </w:rPr>
              <w:t>.</w:t>
            </w:r>
            <w:r w:rsidR="00A93D73" w:rsidRPr="0067099C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67099C" w:rsidRPr="0067099C">
              <w:rPr>
                <w:rFonts w:cstheme="minorHAnsi"/>
                <w:color w:val="000000" w:themeColor="text1"/>
                <w:lang w:val="en-GB"/>
              </w:rPr>
              <w:t>T</w:t>
            </w:r>
            <w:r w:rsidR="00F249A1" w:rsidRPr="0067099C">
              <w:rPr>
                <w:rFonts w:cstheme="minorHAnsi"/>
                <w:color w:val="000000" w:themeColor="text1"/>
                <w:lang w:val="en-GB"/>
              </w:rPr>
              <w:t>his</w:t>
            </w:r>
            <w:r w:rsidR="00076A87" w:rsidRPr="0067099C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A93D73" w:rsidRPr="0067099C">
              <w:rPr>
                <w:rFonts w:cstheme="minorHAnsi"/>
                <w:color w:val="000000" w:themeColor="text1"/>
                <w:lang w:val="en-GB"/>
              </w:rPr>
              <w:t>also applies to supplementary and deferred examination students.</w:t>
            </w:r>
          </w:p>
        </w:tc>
      </w:tr>
      <w:tr w:rsidR="00643239" w14:paraId="76007D39" w14:textId="77777777" w:rsidTr="004F7A22">
        <w:tc>
          <w:tcPr>
            <w:tcW w:w="9493" w:type="dxa"/>
          </w:tcPr>
          <w:p w14:paraId="49023D8F" w14:textId="1186B9FB" w:rsidR="00643239" w:rsidRDefault="00643239" w:rsidP="00576049">
            <w:r>
              <w:t>Comply with the General Principles for Student Experience of Learning and Teaching (SELT) data collection and review</w:t>
            </w:r>
            <w:r w:rsidR="00182A33">
              <w:t>,</w:t>
            </w:r>
            <w:r>
              <w:t xml:space="preserve"> in accordance with the </w:t>
            </w:r>
            <w:r w:rsidRPr="00643239">
              <w:rPr>
                <w:i/>
                <w:iCs/>
              </w:rPr>
              <w:t>University Policy on Student Experience of Learning and Teaching</w:t>
            </w:r>
            <w:r>
              <w:t xml:space="preserve">. </w:t>
            </w:r>
          </w:p>
        </w:tc>
      </w:tr>
      <w:tr w:rsidR="00643239" w14:paraId="171FAC00" w14:textId="77777777" w:rsidTr="004F7A22">
        <w:tc>
          <w:tcPr>
            <w:tcW w:w="9493" w:type="dxa"/>
          </w:tcPr>
          <w:p w14:paraId="790D87CD" w14:textId="26DC3ED0" w:rsidR="00643239" w:rsidRDefault="004D1C94" w:rsidP="00576049">
            <w:r>
              <w:t xml:space="preserve">Attend and contribute to discipline/level/major/course review meetings, as appropriate. </w:t>
            </w:r>
          </w:p>
        </w:tc>
      </w:tr>
      <w:tr w:rsidR="004D1C94" w14:paraId="5105B23F" w14:textId="77777777" w:rsidTr="004F7A22">
        <w:tc>
          <w:tcPr>
            <w:tcW w:w="9493" w:type="dxa"/>
          </w:tcPr>
          <w:p w14:paraId="5CF8D4B9" w14:textId="5176EE68" w:rsidR="004D1C94" w:rsidRDefault="004D1C94" w:rsidP="00576049">
            <w:r>
              <w:t xml:space="preserve">Attend and contribute to any teaching meetings/committees, as appropriate. </w:t>
            </w:r>
          </w:p>
        </w:tc>
      </w:tr>
    </w:tbl>
    <w:p w14:paraId="1DABA45B" w14:textId="2783947A" w:rsidR="00746A79" w:rsidRPr="004A6015" w:rsidRDefault="00746A79" w:rsidP="00746A79">
      <w:pPr>
        <w:spacing w:after="0" w:line="240" w:lineRule="auto"/>
        <w:rPr>
          <w:sz w:val="20"/>
          <w:szCs w:val="20"/>
        </w:rPr>
      </w:pPr>
      <w:proofErr w:type="spellStart"/>
      <w:r w:rsidRPr="004A6015">
        <w:rPr>
          <w:sz w:val="20"/>
          <w:szCs w:val="20"/>
          <w:vertAlign w:val="superscript"/>
        </w:rPr>
        <w:t>a</w:t>
      </w:r>
      <w:proofErr w:type="spellEnd"/>
      <w:r w:rsidRPr="004A6015">
        <w:rPr>
          <w:sz w:val="20"/>
          <w:szCs w:val="20"/>
          <w:vertAlign w:val="superscript"/>
        </w:rPr>
        <w:t xml:space="preserve"> </w:t>
      </w:r>
      <w:r w:rsidRPr="004A6015">
        <w:rPr>
          <w:sz w:val="20"/>
          <w:szCs w:val="20"/>
        </w:rPr>
        <w:t xml:space="preserve">The Unit Outline houses: links to UWA policies and UWA student services (https://www.uwa.edu.au/students/Support-services), general unit schedule, assessment mechanism statement (including dates for SAO to manage SC approvals), per the </w:t>
      </w:r>
      <w:r w:rsidRPr="004A6015">
        <w:rPr>
          <w:i/>
          <w:iCs/>
          <w:sz w:val="20"/>
          <w:szCs w:val="20"/>
        </w:rPr>
        <w:t>University Policy on Assessment</w:t>
      </w:r>
      <w:r w:rsidRPr="004A6015">
        <w:rPr>
          <w:sz w:val="20"/>
          <w:szCs w:val="20"/>
        </w:rPr>
        <w:t xml:space="preserve"> (5.2(7)). </w:t>
      </w:r>
    </w:p>
    <w:p w14:paraId="370EE537" w14:textId="584F35D3" w:rsidR="0067099C" w:rsidRDefault="00746A79" w:rsidP="00746A79">
      <w:pPr>
        <w:pStyle w:val="FootnoteText"/>
      </w:pPr>
      <w:r w:rsidRPr="004A6015">
        <w:rPr>
          <w:vertAlign w:val="superscript"/>
        </w:rPr>
        <w:t xml:space="preserve">b </w:t>
      </w:r>
      <w:r w:rsidRPr="004A6015">
        <w:t>The Major/Course coordinator oversees and manages the integration of units within a major/course, ensures knowledge experts are delivering content, tracks</w:t>
      </w:r>
      <w:r w:rsidR="005304FD">
        <w:t xml:space="preserve"> and determines appropriateness of content</w:t>
      </w:r>
      <w:r w:rsidRPr="004A6015">
        <w:t xml:space="preserve"> duplication and knowledge scaffolding, assessments, etc</w:t>
      </w:r>
      <w:r w:rsidR="00BF43D4">
        <w:t>.</w:t>
      </w:r>
      <w:r w:rsidRPr="004A6015">
        <w:t xml:space="preserve"> over all units within a major. This includes cross-discipline content. </w:t>
      </w:r>
    </w:p>
    <w:p w14:paraId="12BC3077" w14:textId="77777777" w:rsidR="00125F40" w:rsidRDefault="00125F40" w:rsidP="00746A79">
      <w:pPr>
        <w:pStyle w:val="FootnoteText"/>
      </w:pPr>
    </w:p>
    <w:p w14:paraId="27608FB2" w14:textId="77777777" w:rsidR="00125F40" w:rsidRDefault="00125F40" w:rsidP="00746A79">
      <w:pPr>
        <w:pStyle w:val="FootnoteText"/>
      </w:pPr>
    </w:p>
    <w:p w14:paraId="1DD07C67" w14:textId="77777777" w:rsidR="00D30C5E" w:rsidRDefault="00D30C5E" w:rsidP="00746A79">
      <w:pPr>
        <w:pStyle w:val="FootnoteText"/>
      </w:pPr>
    </w:p>
    <w:p w14:paraId="32AEB659" w14:textId="77777777" w:rsidR="00D93663" w:rsidRDefault="00D93663" w:rsidP="00746A79">
      <w:pPr>
        <w:pStyle w:val="FootnoteText"/>
      </w:pPr>
    </w:p>
    <w:p w14:paraId="67B2061F" w14:textId="77777777" w:rsidR="00D93663" w:rsidRDefault="00D93663" w:rsidP="00746A79">
      <w:pPr>
        <w:pStyle w:val="Footnote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4D1C94" w14:paraId="1057E8D2" w14:textId="77777777" w:rsidTr="004F7A22">
        <w:tc>
          <w:tcPr>
            <w:tcW w:w="9493" w:type="dxa"/>
            <w:shd w:val="clear" w:color="auto" w:fill="D9E2F3" w:themeFill="accent1" w:themeFillTint="33"/>
          </w:tcPr>
          <w:p w14:paraId="0E9BF6CE" w14:textId="6898C2D2" w:rsidR="004D1C94" w:rsidRPr="004D1C94" w:rsidRDefault="004D1C94" w:rsidP="00576049">
            <w:pPr>
              <w:rPr>
                <w:b/>
                <w:bCs/>
              </w:rPr>
            </w:pPr>
            <w:r w:rsidRPr="004D1C94">
              <w:rPr>
                <w:b/>
                <w:bCs/>
              </w:rPr>
              <w:lastRenderedPageBreak/>
              <w:t>Assessment (A3)</w:t>
            </w:r>
            <w:r w:rsidR="00A12C4A">
              <w:rPr>
                <w:b/>
                <w:bCs/>
              </w:rPr>
              <w:t xml:space="preserve">: </w:t>
            </w:r>
            <w:r w:rsidR="00A12C4A" w:rsidRPr="00A12C4A">
              <w:t>All assessment</w:t>
            </w:r>
            <w:r w:rsidR="00D27031">
              <w:t>s</w:t>
            </w:r>
            <w:r w:rsidR="00A12C4A" w:rsidRPr="00A12C4A">
              <w:t xml:space="preserve"> must comply with the </w:t>
            </w:r>
            <w:r w:rsidR="00A12C4A" w:rsidRPr="00A12C4A">
              <w:rPr>
                <w:i/>
                <w:iCs/>
              </w:rPr>
              <w:t>University Policy on Assessment</w:t>
            </w:r>
          </w:p>
        </w:tc>
      </w:tr>
      <w:tr w:rsidR="004D1C94" w14:paraId="3D1F70C3" w14:textId="77777777" w:rsidTr="004F7A22">
        <w:tc>
          <w:tcPr>
            <w:tcW w:w="9493" w:type="dxa"/>
          </w:tcPr>
          <w:p w14:paraId="71AE0C6C" w14:textId="33A1BAE3" w:rsidR="004D1C94" w:rsidRDefault="004D1C94" w:rsidP="00576049">
            <w:r>
              <w:t>Develop</w:t>
            </w:r>
            <w:r w:rsidR="00D93663">
              <w:t xml:space="preserve">, set and revise </w:t>
            </w:r>
            <w:r>
              <w:t xml:space="preserve">assessment tasks that align with </w:t>
            </w:r>
            <w:r w:rsidR="00FB77BF">
              <w:t xml:space="preserve">unit </w:t>
            </w:r>
            <w:r>
              <w:t>learning outcomes and teaching activities</w:t>
            </w:r>
            <w:r w:rsidR="00D93663">
              <w:t xml:space="preserve"> and, where relevant, accreditation requirements</w:t>
            </w:r>
            <w:r>
              <w:t xml:space="preserve">. </w:t>
            </w:r>
          </w:p>
        </w:tc>
      </w:tr>
      <w:tr w:rsidR="00833241" w14:paraId="2FCFA77A" w14:textId="77777777" w:rsidTr="004F7A22">
        <w:tc>
          <w:tcPr>
            <w:tcW w:w="9493" w:type="dxa"/>
          </w:tcPr>
          <w:p w14:paraId="6743D1AC" w14:textId="1F4E4FE7" w:rsidR="00833241" w:rsidRDefault="00833241" w:rsidP="00576049">
            <w:r>
              <w:t>Provide clear assessment task guidelines</w:t>
            </w:r>
            <w:r w:rsidR="00F67756">
              <w:t xml:space="preserve"> and ensure students receive timely and constructive feedback on assessments, </w:t>
            </w:r>
            <w:r w:rsidR="00F67756" w:rsidRPr="008F50F2">
              <w:t xml:space="preserve">in alignment with the </w:t>
            </w:r>
            <w:r w:rsidR="00F67756" w:rsidRPr="008F50F2">
              <w:rPr>
                <w:i/>
                <w:iCs/>
              </w:rPr>
              <w:t>University Policy on Assessment (5.8(</w:t>
            </w:r>
            <w:r w:rsidR="00F67756">
              <w:rPr>
                <w:i/>
                <w:iCs/>
              </w:rPr>
              <w:t>5</w:t>
            </w:r>
            <w:r w:rsidR="00F67756" w:rsidRPr="008F50F2">
              <w:rPr>
                <w:i/>
                <w:iCs/>
              </w:rPr>
              <w:t>)).</w:t>
            </w:r>
          </w:p>
        </w:tc>
      </w:tr>
      <w:tr w:rsidR="004D1C94" w14:paraId="323156A5" w14:textId="77777777" w:rsidTr="004F7A22">
        <w:tc>
          <w:tcPr>
            <w:tcW w:w="9493" w:type="dxa"/>
          </w:tcPr>
          <w:p w14:paraId="7C32569A" w14:textId="17A34269" w:rsidR="004D1C94" w:rsidRDefault="0077266F" w:rsidP="00576049">
            <w:r>
              <w:t>Provide</w:t>
            </w:r>
            <w:r w:rsidR="00BC0904">
              <w:t xml:space="preserve"> </w:t>
            </w:r>
            <w:r w:rsidR="00BF195B">
              <w:t>marking scheme</w:t>
            </w:r>
            <w:r w:rsidR="004D1C94">
              <w:t xml:space="preserve"> </w:t>
            </w:r>
            <w:r>
              <w:t xml:space="preserve">for </w:t>
            </w:r>
            <w:r w:rsidR="00BF195B">
              <w:t xml:space="preserve">each </w:t>
            </w:r>
            <w:r>
              <w:t>assessment task</w:t>
            </w:r>
            <w:r w:rsidR="00BF195B">
              <w:t>,</w:t>
            </w:r>
            <w:r w:rsidR="00A30D64">
              <w:t xml:space="preserve"> </w:t>
            </w:r>
            <w:r w:rsidR="00BF195B" w:rsidRPr="008F50F2">
              <w:t xml:space="preserve">in alignment with the </w:t>
            </w:r>
            <w:r w:rsidR="00BF195B" w:rsidRPr="008F50F2">
              <w:rPr>
                <w:i/>
                <w:iCs/>
              </w:rPr>
              <w:t>University Policy on Assessment (5.</w:t>
            </w:r>
            <w:r w:rsidR="00BF195B">
              <w:rPr>
                <w:i/>
                <w:iCs/>
              </w:rPr>
              <w:t>2</w:t>
            </w:r>
            <w:r w:rsidR="00BF195B" w:rsidRPr="008F50F2">
              <w:rPr>
                <w:i/>
                <w:iCs/>
              </w:rPr>
              <w:t>(</w:t>
            </w:r>
            <w:r w:rsidR="00BF195B">
              <w:rPr>
                <w:i/>
                <w:iCs/>
              </w:rPr>
              <w:t>5</w:t>
            </w:r>
            <w:r w:rsidR="00BF195B" w:rsidRPr="008F50F2">
              <w:rPr>
                <w:i/>
                <w:iCs/>
              </w:rPr>
              <w:t>)).</w:t>
            </w:r>
          </w:p>
        </w:tc>
      </w:tr>
      <w:tr w:rsidR="00A30D64" w14:paraId="555DDEF4" w14:textId="77777777" w:rsidTr="004F7A22">
        <w:tc>
          <w:tcPr>
            <w:tcW w:w="9493" w:type="dxa"/>
          </w:tcPr>
          <w:p w14:paraId="2A81EC95" w14:textId="5D061B54" w:rsidR="00A30D64" w:rsidRDefault="00A30D64" w:rsidP="00576049">
            <w:r>
              <w:t xml:space="preserve">Ensure </w:t>
            </w:r>
            <w:r w:rsidR="004F65AB">
              <w:t xml:space="preserve">each assessment’s </w:t>
            </w:r>
            <w:r w:rsidR="00736462">
              <w:t>marking scheme</w:t>
            </w:r>
            <w:r>
              <w:t xml:space="preserve"> </w:t>
            </w:r>
            <w:r w:rsidR="00736462">
              <w:t>is</w:t>
            </w:r>
            <w:r>
              <w:t xml:space="preserve"> appropriately applied and, if necessary, explain grades awarded to student(s).</w:t>
            </w:r>
          </w:p>
        </w:tc>
      </w:tr>
      <w:tr w:rsidR="004D1C94" w14:paraId="0ACCBC67" w14:textId="77777777" w:rsidTr="004F7A22">
        <w:tc>
          <w:tcPr>
            <w:tcW w:w="9493" w:type="dxa"/>
          </w:tcPr>
          <w:p w14:paraId="0911CC06" w14:textId="5F8C0D90" w:rsidR="004D1C94" w:rsidRDefault="004D1C94" w:rsidP="00576049">
            <w:r>
              <w:t>Ensure that markers are appropriately briefed</w:t>
            </w:r>
            <w:r w:rsidR="00402235">
              <w:t xml:space="preserve">, </w:t>
            </w:r>
            <w:r>
              <w:t>have access to rubrics</w:t>
            </w:r>
            <w:r w:rsidR="001766E5">
              <w:t xml:space="preserve"> and marking keys</w:t>
            </w:r>
            <w:r w:rsidR="00402235">
              <w:t xml:space="preserve"> and </w:t>
            </w:r>
            <w:r w:rsidR="00027DDA">
              <w:t>whe</w:t>
            </w:r>
            <w:r w:rsidR="00027E72">
              <w:t>n</w:t>
            </w:r>
            <w:r w:rsidR="00027DDA">
              <w:t xml:space="preserve"> there are multiple markers for an assessment, </w:t>
            </w:r>
            <w:r w:rsidR="00402235">
              <w:t xml:space="preserve">that cross-marking </w:t>
            </w:r>
            <w:r w:rsidR="00810415">
              <w:t>and/</w:t>
            </w:r>
            <w:r w:rsidR="007433C0">
              <w:t xml:space="preserve">or moderation </w:t>
            </w:r>
            <w:r w:rsidR="00402235">
              <w:t xml:space="preserve">is undertaken </w:t>
            </w:r>
            <w:r w:rsidR="006907A7">
              <w:t>to ensure</w:t>
            </w:r>
            <w:r w:rsidR="00402235">
              <w:t xml:space="preserve"> consistency and equity</w:t>
            </w:r>
            <w:r>
              <w:t>.</w:t>
            </w:r>
          </w:p>
        </w:tc>
      </w:tr>
      <w:tr w:rsidR="004D1C94" w14:paraId="3C643A35" w14:textId="77777777" w:rsidTr="004F7A22">
        <w:tc>
          <w:tcPr>
            <w:tcW w:w="9493" w:type="dxa"/>
            <w:shd w:val="clear" w:color="auto" w:fill="auto"/>
          </w:tcPr>
          <w:p w14:paraId="07C56FF2" w14:textId="5AF5687E" w:rsidR="00067C54" w:rsidRPr="008F50F2" w:rsidRDefault="00355CE8" w:rsidP="00FB7E60">
            <w:r>
              <w:t>Maintain</w:t>
            </w:r>
            <w:r w:rsidR="00067C54" w:rsidRPr="008F50F2">
              <w:t xml:space="preserve"> </w:t>
            </w:r>
            <w:r w:rsidR="00CB567B" w:rsidRPr="008F50F2">
              <w:t xml:space="preserve">records of </w:t>
            </w:r>
            <w:r>
              <w:t>student scores for all assessment tasks</w:t>
            </w:r>
            <w:r w:rsidR="00CB567B" w:rsidRPr="008F50F2">
              <w:t xml:space="preserve">. </w:t>
            </w:r>
          </w:p>
        </w:tc>
      </w:tr>
      <w:tr w:rsidR="004D1C94" w14:paraId="164923D5" w14:textId="77777777" w:rsidTr="004F7A22">
        <w:tc>
          <w:tcPr>
            <w:tcW w:w="9493" w:type="dxa"/>
          </w:tcPr>
          <w:p w14:paraId="34B17102" w14:textId="0C488F87" w:rsidR="004D1C94" w:rsidRPr="008F50F2" w:rsidRDefault="004D1C94" w:rsidP="00576049">
            <w:r w:rsidRPr="008F50F2">
              <w:t xml:space="preserve">Permit students to view their marked examination scripts on request, and </w:t>
            </w:r>
            <w:r w:rsidR="00C742BA">
              <w:t>enable</w:t>
            </w:r>
            <w:r w:rsidRPr="008F50F2">
              <w:t xml:space="preserve"> discuss</w:t>
            </w:r>
            <w:r w:rsidR="00C742BA">
              <w:t xml:space="preserve">ion </w:t>
            </w:r>
            <w:r w:rsidRPr="008F50F2">
              <w:t>with an appropriate staff member</w:t>
            </w:r>
            <w:r w:rsidR="005A4C08">
              <w:t>,</w:t>
            </w:r>
            <w:r w:rsidRPr="008F50F2">
              <w:t xml:space="preserve"> in alignment with the </w:t>
            </w:r>
            <w:r w:rsidRPr="008F50F2">
              <w:rPr>
                <w:i/>
                <w:iCs/>
              </w:rPr>
              <w:t>University Policy on Assessment</w:t>
            </w:r>
            <w:r w:rsidR="00FC69F5" w:rsidRPr="008F50F2">
              <w:rPr>
                <w:i/>
                <w:iCs/>
              </w:rPr>
              <w:t xml:space="preserve"> (5.8(8)).</w:t>
            </w:r>
          </w:p>
        </w:tc>
      </w:tr>
      <w:tr w:rsidR="004D1C94" w14:paraId="0DCDBADB" w14:textId="77777777" w:rsidTr="004F7A22">
        <w:tc>
          <w:tcPr>
            <w:tcW w:w="9493" w:type="dxa"/>
          </w:tcPr>
          <w:p w14:paraId="38CC39AF" w14:textId="32B8295A" w:rsidR="004D1C94" w:rsidRPr="008F50F2" w:rsidRDefault="004D1C94" w:rsidP="00576049">
            <w:r w:rsidRPr="008F50F2">
              <w:t xml:space="preserve">Monitor </w:t>
            </w:r>
            <w:r w:rsidR="00A95838">
              <w:t xml:space="preserve">the </w:t>
            </w:r>
            <w:r w:rsidRPr="008F50F2">
              <w:t>Special Consideration</w:t>
            </w:r>
            <w:r w:rsidR="006132D8" w:rsidRPr="008F50F2">
              <w:t xml:space="preserve"> </w:t>
            </w:r>
            <w:r w:rsidR="00A95838">
              <w:t xml:space="preserve">dashboard in </w:t>
            </w:r>
            <w:proofErr w:type="spellStart"/>
            <w:r w:rsidR="00A95838" w:rsidRPr="008F50F2">
              <w:t>PowerBI</w:t>
            </w:r>
            <w:proofErr w:type="spellEnd"/>
            <w:r w:rsidR="00A95838" w:rsidRPr="008F50F2">
              <w:t xml:space="preserve"> </w:t>
            </w:r>
            <w:r w:rsidR="00A95838">
              <w:t xml:space="preserve">and </w:t>
            </w:r>
            <w:r w:rsidR="00A95838" w:rsidRPr="008F50F2">
              <w:t xml:space="preserve">apply approved </w:t>
            </w:r>
            <w:r w:rsidR="006132D8" w:rsidRPr="008F50F2">
              <w:t>outcomes</w:t>
            </w:r>
            <w:r w:rsidRPr="008F50F2">
              <w:t xml:space="preserve">. </w:t>
            </w:r>
          </w:p>
        </w:tc>
      </w:tr>
      <w:tr w:rsidR="004D1C94" w14:paraId="322E40F9" w14:textId="77777777" w:rsidTr="004F7A22">
        <w:tc>
          <w:tcPr>
            <w:tcW w:w="9493" w:type="dxa"/>
            <w:shd w:val="clear" w:color="auto" w:fill="auto"/>
          </w:tcPr>
          <w:p w14:paraId="3AAA4BE4" w14:textId="2B95E4C9" w:rsidR="004D1C94" w:rsidRPr="008F50F2" w:rsidRDefault="00932E00" w:rsidP="00576049">
            <w:r w:rsidRPr="008F50F2">
              <w:t xml:space="preserve">Be contactable during </w:t>
            </w:r>
            <w:r w:rsidR="00A82C16">
              <w:t xml:space="preserve">the </w:t>
            </w:r>
            <w:r w:rsidRPr="008F50F2">
              <w:t>unit’s</w:t>
            </w:r>
            <w:r w:rsidR="004D1C94" w:rsidRPr="008F50F2">
              <w:t xml:space="preserve"> </w:t>
            </w:r>
            <w:r w:rsidRPr="008F50F2">
              <w:t>examination</w:t>
            </w:r>
            <w:r w:rsidR="000734B8">
              <w:t>(</w:t>
            </w:r>
            <w:r w:rsidRPr="008F50F2">
              <w:t>s</w:t>
            </w:r>
            <w:r w:rsidR="000734B8">
              <w:t>)</w:t>
            </w:r>
            <w:r w:rsidR="004D1C94" w:rsidRPr="008F50F2">
              <w:t>.</w:t>
            </w:r>
          </w:p>
        </w:tc>
      </w:tr>
      <w:tr w:rsidR="00334300" w14:paraId="597A8AB0" w14:textId="77777777" w:rsidTr="004F7A22">
        <w:trPr>
          <w:trHeight w:val="473"/>
        </w:trPr>
        <w:tc>
          <w:tcPr>
            <w:tcW w:w="9493" w:type="dxa"/>
            <w:shd w:val="clear" w:color="auto" w:fill="auto"/>
          </w:tcPr>
          <w:p w14:paraId="3C2F6455" w14:textId="77777777" w:rsidR="00402235" w:rsidRDefault="00334300" w:rsidP="00576049">
            <w:pPr>
              <w:rPr>
                <w:i/>
                <w:iCs/>
              </w:rPr>
            </w:pPr>
            <w:r w:rsidRPr="008F50F2">
              <w:t xml:space="preserve">Ensure </w:t>
            </w:r>
            <w:r w:rsidR="005A1788">
              <w:t>f</w:t>
            </w:r>
            <w:r w:rsidRPr="008F50F2">
              <w:t xml:space="preserve">inal </w:t>
            </w:r>
            <w:r w:rsidR="005A1788">
              <w:t>e</w:t>
            </w:r>
            <w:r w:rsidRPr="008F50F2">
              <w:t>xamination</w:t>
            </w:r>
            <w:r w:rsidR="00402235">
              <w:t xml:space="preserve"> content complies </w:t>
            </w:r>
            <w:r w:rsidRPr="008F50F2">
              <w:t xml:space="preserve">with the </w:t>
            </w:r>
            <w:r w:rsidRPr="008F50F2">
              <w:rPr>
                <w:i/>
                <w:iCs/>
              </w:rPr>
              <w:t xml:space="preserve">University Policy on Assessment. </w:t>
            </w:r>
          </w:p>
          <w:p w14:paraId="564CC04F" w14:textId="6D56F62F" w:rsidR="00334300" w:rsidRPr="001766E5" w:rsidRDefault="00334300" w:rsidP="00576049">
            <w:r w:rsidRPr="008F50F2">
              <w:t xml:space="preserve">Note: </w:t>
            </w:r>
            <w:r w:rsidR="0071374A">
              <w:t>f</w:t>
            </w:r>
            <w:r w:rsidR="001766E5">
              <w:t xml:space="preserve">or </w:t>
            </w:r>
            <w:r w:rsidR="001766E5" w:rsidRPr="008F50F2">
              <w:t>unit’s previous teaching</w:t>
            </w:r>
            <w:r w:rsidR="001766E5">
              <w:t xml:space="preserve"> period</w:t>
            </w:r>
            <w:r w:rsidR="00B376FE">
              <w:t xml:space="preserve"> (50% distinctiveness)</w:t>
            </w:r>
            <w:r w:rsidR="001766E5" w:rsidRPr="008F50F2">
              <w:t xml:space="preserve"> </w:t>
            </w:r>
            <w:r w:rsidRPr="008F50F2">
              <w:rPr>
                <w:i/>
                <w:iCs/>
              </w:rPr>
              <w:t>6.2 (3),</w:t>
            </w:r>
            <w:r w:rsidR="001766E5">
              <w:t xml:space="preserve"> and </w:t>
            </w:r>
            <w:r w:rsidR="005A1788">
              <w:t>d</w:t>
            </w:r>
            <w:r w:rsidR="001766E5">
              <w:t xml:space="preserve">eferred </w:t>
            </w:r>
            <w:r w:rsidR="005A1788">
              <w:t>and supplementary e</w:t>
            </w:r>
            <w:r w:rsidR="001766E5">
              <w:t>xamination</w:t>
            </w:r>
            <w:r w:rsidR="00D35B36">
              <w:t>s</w:t>
            </w:r>
            <w:r w:rsidR="001766E5">
              <w:t xml:space="preserve"> </w:t>
            </w:r>
            <w:r w:rsidR="00B376FE">
              <w:t>(25% distinctiveness)</w:t>
            </w:r>
            <w:r w:rsidR="00B376FE" w:rsidRPr="008F50F2">
              <w:t xml:space="preserve"> </w:t>
            </w:r>
            <w:r w:rsidR="001766E5" w:rsidRPr="008F50F2">
              <w:rPr>
                <w:i/>
                <w:iCs/>
              </w:rPr>
              <w:t>6.2 (7)</w:t>
            </w:r>
            <w:r w:rsidR="001766E5">
              <w:rPr>
                <w:i/>
                <w:iCs/>
              </w:rPr>
              <w:t>.</w:t>
            </w:r>
          </w:p>
        </w:tc>
      </w:tr>
      <w:tr w:rsidR="004D1C94" w14:paraId="04547B4D" w14:textId="77777777" w:rsidTr="004F7A22">
        <w:tc>
          <w:tcPr>
            <w:tcW w:w="9493" w:type="dxa"/>
            <w:shd w:val="clear" w:color="auto" w:fill="D9E2F3" w:themeFill="accent1" w:themeFillTint="33"/>
          </w:tcPr>
          <w:p w14:paraId="584258C6" w14:textId="78A5E022" w:rsidR="004D1C94" w:rsidRPr="004D1C94" w:rsidRDefault="004D1C94" w:rsidP="00576049">
            <w:pPr>
              <w:rPr>
                <w:b/>
                <w:bCs/>
              </w:rPr>
            </w:pPr>
            <w:r w:rsidRPr="004D1C94">
              <w:rPr>
                <w:b/>
                <w:bCs/>
              </w:rPr>
              <w:t>Student Engagement and Support (A4)</w:t>
            </w:r>
            <w:r w:rsidR="00B12CBE">
              <w:rPr>
                <w:b/>
                <w:bCs/>
              </w:rPr>
              <w:t xml:space="preserve"> </w:t>
            </w:r>
            <w:r w:rsidR="00B12CBE" w:rsidRPr="00DE3D78">
              <w:rPr>
                <w:sz w:val="18"/>
                <w:szCs w:val="18"/>
              </w:rPr>
              <w:t>–</w:t>
            </w:r>
            <w:r w:rsidR="00B12CBE" w:rsidRPr="00B12CBE">
              <w:t xml:space="preserve"> </w:t>
            </w:r>
            <w:r w:rsidR="00B12CBE" w:rsidRPr="00DE3D78">
              <w:rPr>
                <w:sz w:val="18"/>
                <w:szCs w:val="18"/>
              </w:rPr>
              <w:t>see also</w:t>
            </w:r>
            <w:r w:rsidR="00B12CBE" w:rsidRPr="00B12CBE">
              <w:t xml:space="preserve"> </w:t>
            </w:r>
            <w:r w:rsidR="00B12CBE" w:rsidRPr="00DE3D78">
              <w:rPr>
                <w:i/>
                <w:iCs/>
                <w:sz w:val="18"/>
                <w:szCs w:val="18"/>
              </w:rPr>
              <w:t>University Policy on Support for Students</w:t>
            </w:r>
          </w:p>
        </w:tc>
      </w:tr>
      <w:tr w:rsidR="00830E33" w14:paraId="592D975C" w14:textId="77777777" w:rsidTr="004F7A22">
        <w:tc>
          <w:tcPr>
            <w:tcW w:w="9493" w:type="dxa"/>
            <w:shd w:val="clear" w:color="auto" w:fill="auto"/>
          </w:tcPr>
          <w:p w14:paraId="15397AED" w14:textId="038570E0" w:rsidR="00830E33" w:rsidRPr="00EC0C76" w:rsidRDefault="004A34E0" w:rsidP="00576049">
            <w:r w:rsidRPr="004A34E0">
              <w:t>Seek advice from and direct students to appropriate University hubs</w:t>
            </w:r>
            <w:r w:rsidR="001561AC">
              <w:t>/</w:t>
            </w:r>
            <w:r w:rsidRPr="004A34E0">
              <w:t xml:space="preserve">student services (e.g., </w:t>
            </w:r>
            <w:proofErr w:type="spellStart"/>
            <w:r w:rsidRPr="004A34E0">
              <w:t>UniAccess</w:t>
            </w:r>
            <w:proofErr w:type="spellEnd"/>
            <w:r w:rsidRPr="004A34E0">
              <w:t xml:space="preserve">, </w:t>
            </w:r>
            <w:proofErr w:type="spellStart"/>
            <w:r w:rsidRPr="004A34E0">
              <w:t>StudySmarter</w:t>
            </w:r>
            <w:proofErr w:type="spellEnd"/>
            <w:r w:rsidRPr="004A34E0">
              <w:t xml:space="preserve">). Note: </w:t>
            </w:r>
            <w:r w:rsidR="00B376FE">
              <w:t>Unit Outline houses</w:t>
            </w:r>
            <w:r w:rsidRPr="004A34E0">
              <w:t xml:space="preserve"> support links</w:t>
            </w:r>
            <w:r w:rsidR="00B376FE">
              <w:t>.</w:t>
            </w:r>
          </w:p>
        </w:tc>
      </w:tr>
      <w:tr w:rsidR="00830E33" w14:paraId="7FE51D50" w14:textId="77777777" w:rsidTr="004F7A22">
        <w:tc>
          <w:tcPr>
            <w:tcW w:w="9493" w:type="dxa"/>
            <w:shd w:val="clear" w:color="auto" w:fill="auto"/>
          </w:tcPr>
          <w:p w14:paraId="75560405" w14:textId="551CAECB" w:rsidR="00830E33" w:rsidRPr="00EC0C76" w:rsidRDefault="00830E33" w:rsidP="00576049">
            <w:r>
              <w:t xml:space="preserve">Where appropriate, direct students who have encountered circumstances that might impact their academic performance to the </w:t>
            </w:r>
            <w:r w:rsidR="001D02CF">
              <w:t xml:space="preserve"> relevant Student Advising Office (SA)</w:t>
            </w:r>
            <w:r>
              <w:t>.</w:t>
            </w:r>
          </w:p>
        </w:tc>
      </w:tr>
      <w:tr w:rsidR="00830E33" w14:paraId="53239405" w14:textId="77777777" w:rsidTr="004F7A22">
        <w:tc>
          <w:tcPr>
            <w:tcW w:w="9493" w:type="dxa"/>
            <w:shd w:val="clear" w:color="auto" w:fill="auto"/>
          </w:tcPr>
          <w:p w14:paraId="3F23954D" w14:textId="39FA1818" w:rsidR="00830E33" w:rsidRDefault="00D12913" w:rsidP="00576049">
            <w:r w:rsidRPr="001C0079">
              <w:t xml:space="preserve">Where possible, monitor student participation and progression. Liaise with the Student Advising Office (SAO) and contact any student </w:t>
            </w:r>
            <w:r w:rsidR="00E23F9E">
              <w:t>who has not been</w:t>
            </w:r>
            <w:r w:rsidRPr="001C0079">
              <w:t xml:space="preserve"> making satisfactory progress, in accordance with the </w:t>
            </w:r>
            <w:r w:rsidRPr="001C0079">
              <w:rPr>
                <w:i/>
                <w:iCs/>
              </w:rPr>
              <w:t>University Policy on Academic Progress</w:t>
            </w:r>
            <w:r w:rsidRPr="001C0079">
              <w:t>.</w:t>
            </w:r>
          </w:p>
        </w:tc>
      </w:tr>
      <w:tr w:rsidR="004D1C94" w14:paraId="669E41C1" w14:textId="77777777" w:rsidTr="004F7A22">
        <w:tc>
          <w:tcPr>
            <w:tcW w:w="9493" w:type="dxa"/>
            <w:shd w:val="clear" w:color="auto" w:fill="auto"/>
          </w:tcPr>
          <w:p w14:paraId="7315840D" w14:textId="087A18D8" w:rsidR="00CD4904" w:rsidRPr="00CD4904" w:rsidRDefault="00CD4904" w:rsidP="00576049">
            <w:r>
              <w:t>In</w:t>
            </w:r>
            <w:r w:rsidR="00FF2D3B">
              <w:t xml:space="preserve"> accordance with the procedure outlined in the </w:t>
            </w:r>
            <w:r w:rsidR="00FF2D3B" w:rsidRPr="00A37C20">
              <w:rPr>
                <w:i/>
                <w:iCs/>
              </w:rPr>
              <w:t>University Policy on Review and Appeal of Academic Decisions Relating to Students</w:t>
            </w:r>
            <w:r w:rsidR="00FF2D3B">
              <w:rPr>
                <w:i/>
                <w:iCs/>
              </w:rPr>
              <w:t xml:space="preserve"> (Schedule A)</w:t>
            </w:r>
            <w:r w:rsidR="00860612">
              <w:rPr>
                <w:i/>
                <w:iCs/>
              </w:rPr>
              <w:t>,</w:t>
            </w:r>
            <w:r w:rsidR="00FF2D3B">
              <w:rPr>
                <w:i/>
                <w:iCs/>
              </w:rPr>
              <w:t xml:space="preserve"> </w:t>
            </w:r>
            <w:r w:rsidR="00FF2D3B">
              <w:t>perform an informal review</w:t>
            </w:r>
            <w:r>
              <w:rPr>
                <w:i/>
                <w:iCs/>
              </w:rPr>
              <w:t xml:space="preserve"> </w:t>
            </w:r>
            <w:r w:rsidRPr="00CD4904">
              <w:t xml:space="preserve">in the event of an appeal against one of the following: </w:t>
            </w:r>
          </w:p>
          <w:p w14:paraId="710EB95F" w14:textId="77777777" w:rsidR="00CD4904" w:rsidRDefault="00B32DF6" w:rsidP="00576049">
            <w:pPr>
              <w:pStyle w:val="ListParagraph"/>
              <w:numPr>
                <w:ilvl w:val="0"/>
                <w:numId w:val="7"/>
              </w:numPr>
            </w:pPr>
            <w:r>
              <w:t>assessment outcome</w:t>
            </w:r>
          </w:p>
          <w:p w14:paraId="0123515D" w14:textId="77777777" w:rsidR="00CD4904" w:rsidRDefault="00B32DF6" w:rsidP="00576049">
            <w:pPr>
              <w:pStyle w:val="ListParagraph"/>
              <w:numPr>
                <w:ilvl w:val="0"/>
                <w:numId w:val="7"/>
              </w:numPr>
            </w:pPr>
            <w:r>
              <w:t>final grad</w:t>
            </w:r>
            <w:r w:rsidR="00CD4904">
              <w:t>e</w:t>
            </w:r>
          </w:p>
          <w:p w14:paraId="14ED1729" w14:textId="0CD093DF" w:rsidR="00A37C20" w:rsidRPr="00A37C20" w:rsidRDefault="00CD4904" w:rsidP="00576049">
            <w:pPr>
              <w:pStyle w:val="ListParagraph"/>
              <w:numPr>
                <w:ilvl w:val="0"/>
                <w:numId w:val="7"/>
              </w:numPr>
            </w:pPr>
            <w:r>
              <w:t>academic decision</w:t>
            </w:r>
            <w:r w:rsidR="00AB60DB">
              <w:t>.</w:t>
            </w:r>
          </w:p>
        </w:tc>
      </w:tr>
      <w:tr w:rsidR="00CD4904" w14:paraId="0BE6B0C9" w14:textId="77777777" w:rsidTr="004F7A22">
        <w:tc>
          <w:tcPr>
            <w:tcW w:w="9493" w:type="dxa"/>
          </w:tcPr>
          <w:p w14:paraId="0117DF85" w14:textId="7D4EC06F" w:rsidR="00FF2D3B" w:rsidRDefault="00CD4904" w:rsidP="00576049">
            <w:r>
              <w:t>Follow</w:t>
            </w:r>
            <w:r w:rsidR="00FF2D3B">
              <w:t xml:space="preserve"> </w:t>
            </w:r>
            <w:r w:rsidR="00D64010">
              <w:t>procedure</w:t>
            </w:r>
            <w:r w:rsidR="00FF2D3B">
              <w:t xml:space="preserve"> for recording and handling of alleged breaches of academic conduct in accordance with the </w:t>
            </w:r>
            <w:r w:rsidR="00FF2D3B" w:rsidRPr="008F50F2">
              <w:rPr>
                <w:i/>
                <w:iCs/>
              </w:rPr>
              <w:t>University Policy on Academic Conduc</w:t>
            </w:r>
            <w:r w:rsidR="007D4328" w:rsidRPr="008F50F2">
              <w:rPr>
                <w:i/>
                <w:iCs/>
              </w:rPr>
              <w:t>t</w:t>
            </w:r>
            <w:r w:rsidR="007D4328">
              <w:t xml:space="preserve"> and advise School Academic Integrity Officer (SAIO) where appropriate.</w:t>
            </w:r>
          </w:p>
        </w:tc>
      </w:tr>
      <w:tr w:rsidR="00F0415A" w14:paraId="5679B248" w14:textId="77777777" w:rsidTr="004F7A22">
        <w:tc>
          <w:tcPr>
            <w:tcW w:w="9493" w:type="dxa"/>
          </w:tcPr>
          <w:p w14:paraId="13CA6462" w14:textId="15E40304" w:rsidR="00F0415A" w:rsidRPr="004732B1" w:rsidRDefault="008004D9" w:rsidP="00576049">
            <w:pPr>
              <w:rPr>
                <w:highlight w:val="lightGray"/>
              </w:rPr>
            </w:pPr>
            <w:r w:rsidRPr="001C0079">
              <w:t>Where possible, i</w:t>
            </w:r>
            <w:r w:rsidR="00F0415A" w:rsidRPr="001C0079">
              <w:t>dentify high achieving students and encourage continued studies in the field.</w:t>
            </w:r>
          </w:p>
        </w:tc>
      </w:tr>
      <w:tr w:rsidR="006229F6" w14:paraId="1A4D1766" w14:textId="77777777" w:rsidTr="004F7A22">
        <w:tc>
          <w:tcPr>
            <w:tcW w:w="9493" w:type="dxa"/>
          </w:tcPr>
          <w:p w14:paraId="19778C46" w14:textId="0D679641" w:rsidR="006229F6" w:rsidRPr="00836CDC" w:rsidRDefault="006229F6" w:rsidP="00576049">
            <w:r w:rsidRPr="00836CDC">
              <w:t>Support the implementation of the University</w:t>
            </w:r>
            <w:r w:rsidR="004C6B82">
              <w:t>’s</w:t>
            </w:r>
            <w:r w:rsidR="006132D8" w:rsidRPr="00836CDC">
              <w:t xml:space="preserve"> </w:t>
            </w:r>
            <w:r w:rsidRPr="00836CDC">
              <w:t xml:space="preserve">and the School’s plan in relation to learning and teaching. </w:t>
            </w:r>
          </w:p>
        </w:tc>
      </w:tr>
      <w:tr w:rsidR="006229F6" w14:paraId="4975D5FC" w14:textId="77777777" w:rsidTr="004F7A22">
        <w:tc>
          <w:tcPr>
            <w:tcW w:w="9493" w:type="dxa"/>
            <w:shd w:val="clear" w:color="auto" w:fill="D9E2F3" w:themeFill="accent1" w:themeFillTint="33"/>
          </w:tcPr>
          <w:p w14:paraId="10CAA703" w14:textId="37C1EA0D" w:rsidR="006229F6" w:rsidRPr="00836CDC" w:rsidRDefault="006229F6" w:rsidP="00576049">
            <w:pPr>
              <w:rPr>
                <w:b/>
                <w:bCs/>
              </w:rPr>
            </w:pPr>
            <w:r w:rsidRPr="00836CDC">
              <w:rPr>
                <w:b/>
                <w:bCs/>
              </w:rPr>
              <w:t>Professional Development</w:t>
            </w:r>
            <w:r w:rsidR="00763521">
              <w:rPr>
                <w:b/>
                <w:bCs/>
              </w:rPr>
              <w:t>, Research and Scholarship</w:t>
            </w:r>
            <w:r w:rsidRPr="00836CDC">
              <w:rPr>
                <w:b/>
                <w:bCs/>
              </w:rPr>
              <w:t xml:space="preserve"> (A5)</w:t>
            </w:r>
          </w:p>
        </w:tc>
      </w:tr>
      <w:tr w:rsidR="006229F6" w14:paraId="38D42643" w14:textId="77777777" w:rsidTr="004F7A22">
        <w:trPr>
          <w:trHeight w:val="747"/>
        </w:trPr>
        <w:tc>
          <w:tcPr>
            <w:tcW w:w="9493" w:type="dxa"/>
          </w:tcPr>
          <w:p w14:paraId="3CFC5EF8" w14:textId="233AE075" w:rsidR="006229F6" w:rsidRPr="00836CDC" w:rsidRDefault="006229F6" w:rsidP="00576049">
            <w:r w:rsidRPr="00836CDC">
              <w:t xml:space="preserve">Take opportunities to enhance </w:t>
            </w:r>
            <w:r w:rsidR="004526EE">
              <w:t xml:space="preserve">their </w:t>
            </w:r>
            <w:r w:rsidRPr="00836CDC">
              <w:t>understanding of</w:t>
            </w:r>
            <w:r w:rsidR="00AA3B24">
              <w:t xml:space="preserve"> authentic</w:t>
            </w:r>
            <w:r w:rsidRPr="00836CDC">
              <w:t xml:space="preserve"> assessment processes</w:t>
            </w:r>
            <w:r w:rsidR="007E4C0E" w:rsidRPr="00836CDC">
              <w:t xml:space="preserve">, learning technology, </w:t>
            </w:r>
            <w:r w:rsidRPr="00836CDC">
              <w:t>pedagogical approaches</w:t>
            </w:r>
            <w:r w:rsidR="006E0974">
              <w:t>, etc</w:t>
            </w:r>
            <w:r w:rsidR="00BF43D4">
              <w:t>.</w:t>
            </w:r>
            <w:r w:rsidR="006E0974">
              <w:t>,</w:t>
            </w:r>
            <w:r w:rsidRPr="00836CDC">
              <w:t xml:space="preserve"> by attending relevant Professional Development (PD) courses, </w:t>
            </w:r>
            <w:r w:rsidR="00975080" w:rsidRPr="00836CDC">
              <w:t xml:space="preserve">in alignment with the </w:t>
            </w:r>
            <w:r w:rsidR="00975080" w:rsidRPr="00836CDC">
              <w:rPr>
                <w:rStyle w:val="ui-provider"/>
                <w:i/>
                <w:iCs/>
              </w:rPr>
              <w:t>University Policy on Higher Education Academic Scholarship</w:t>
            </w:r>
            <w:r w:rsidR="00975080" w:rsidRPr="00836CDC">
              <w:rPr>
                <w:rStyle w:val="ui-provider"/>
              </w:rPr>
              <w:t>.</w:t>
            </w:r>
          </w:p>
        </w:tc>
      </w:tr>
      <w:tr w:rsidR="00AA3B24" w14:paraId="7C0C504B" w14:textId="77777777" w:rsidTr="004F7A22">
        <w:trPr>
          <w:trHeight w:val="291"/>
        </w:trPr>
        <w:tc>
          <w:tcPr>
            <w:tcW w:w="9493" w:type="dxa"/>
          </w:tcPr>
          <w:p w14:paraId="6D8E02BF" w14:textId="52D2CD81" w:rsidR="00AA3B24" w:rsidRDefault="00AA3B24" w:rsidP="00576049">
            <w:r>
              <w:rPr>
                <w:lang w:val="en-GB"/>
              </w:rPr>
              <w:t>Engage</w:t>
            </w:r>
            <w:r w:rsidRPr="00AA3B24">
              <w:rPr>
                <w:lang w:val="en-GB"/>
              </w:rPr>
              <w:t xml:space="preserve"> with the profession and/or relevant industries</w:t>
            </w:r>
            <w:r>
              <w:rPr>
                <w:lang w:val="en-GB"/>
              </w:rPr>
              <w:t>.</w:t>
            </w:r>
          </w:p>
        </w:tc>
      </w:tr>
      <w:tr w:rsidR="00571082" w14:paraId="6AC6D72F" w14:textId="77777777" w:rsidTr="004F7A22">
        <w:trPr>
          <w:trHeight w:val="291"/>
        </w:trPr>
        <w:tc>
          <w:tcPr>
            <w:tcW w:w="9493" w:type="dxa"/>
          </w:tcPr>
          <w:p w14:paraId="7DF63E74" w14:textId="79369A92" w:rsidR="00571082" w:rsidRPr="00836CDC" w:rsidRDefault="00571082" w:rsidP="00576049">
            <w:r>
              <w:t xml:space="preserve">Comply with professional </w:t>
            </w:r>
            <w:r w:rsidR="00B4781A">
              <w:t xml:space="preserve">standards and </w:t>
            </w:r>
            <w:r>
              <w:t>accreditation, where applicable.</w:t>
            </w:r>
          </w:p>
        </w:tc>
      </w:tr>
    </w:tbl>
    <w:p w14:paraId="310D71AE" w14:textId="77777777" w:rsidR="00F23F65" w:rsidRDefault="00F23F65"/>
    <w:p w14:paraId="4B44B210" w14:textId="77777777" w:rsidR="00304703" w:rsidRDefault="00304703"/>
    <w:p w14:paraId="519CFAC1" w14:textId="77777777" w:rsidR="00304703" w:rsidRDefault="00304703"/>
    <w:p w14:paraId="193EBB10" w14:textId="77777777" w:rsidR="004E08A4" w:rsidRDefault="004E08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229F6" w14:paraId="6BFF0F5D" w14:textId="77777777" w:rsidTr="004F7A22">
        <w:tc>
          <w:tcPr>
            <w:tcW w:w="9493" w:type="dxa"/>
            <w:shd w:val="clear" w:color="auto" w:fill="D9E2F3" w:themeFill="accent1" w:themeFillTint="33"/>
          </w:tcPr>
          <w:p w14:paraId="75B997BC" w14:textId="00748BA9" w:rsidR="006229F6" w:rsidRPr="00836CDC" w:rsidRDefault="006229F6" w:rsidP="00576049">
            <w:pPr>
              <w:rPr>
                <w:b/>
                <w:bCs/>
              </w:rPr>
            </w:pPr>
            <w:r w:rsidRPr="00836CDC">
              <w:rPr>
                <w:b/>
                <w:bCs/>
              </w:rPr>
              <w:lastRenderedPageBreak/>
              <w:t xml:space="preserve">Leadership and/or management of specific aspects of </w:t>
            </w:r>
            <w:r w:rsidR="00747E68" w:rsidRPr="00836CDC">
              <w:rPr>
                <w:b/>
                <w:bCs/>
              </w:rPr>
              <w:t xml:space="preserve">unit delivery, </w:t>
            </w:r>
            <w:r w:rsidRPr="00836CDC">
              <w:rPr>
                <w:b/>
                <w:bCs/>
              </w:rPr>
              <w:t>learning and teaching</w:t>
            </w:r>
          </w:p>
        </w:tc>
      </w:tr>
      <w:tr w:rsidR="00570487" w14:paraId="2553E530" w14:textId="77777777" w:rsidTr="004F7A22">
        <w:tc>
          <w:tcPr>
            <w:tcW w:w="9493" w:type="dxa"/>
          </w:tcPr>
          <w:p w14:paraId="7510ECA8" w14:textId="27180920" w:rsidR="00570487" w:rsidRPr="00836CDC" w:rsidRDefault="00570487" w:rsidP="0060202C">
            <w:pPr>
              <w:ind w:left="35"/>
            </w:pPr>
            <w:r>
              <w:t>Regularly liaise with teaching staf</w:t>
            </w:r>
            <w:r w:rsidR="00B05EB8">
              <w:t>f</w:t>
            </w:r>
            <w:r>
              <w:t xml:space="preserve"> to support their teaching and ensure a high standard of unit delivery.</w:t>
            </w:r>
          </w:p>
        </w:tc>
      </w:tr>
      <w:tr w:rsidR="006229F6" w14:paraId="63D38A8A" w14:textId="77777777" w:rsidTr="004F7A22">
        <w:tc>
          <w:tcPr>
            <w:tcW w:w="9493" w:type="dxa"/>
          </w:tcPr>
          <w:p w14:paraId="545F3726" w14:textId="2B65C09A" w:rsidR="002E1359" w:rsidRPr="00836CDC" w:rsidRDefault="006229F6" w:rsidP="0060202C">
            <w:pPr>
              <w:ind w:left="35"/>
            </w:pPr>
            <w:r w:rsidRPr="00836CDC">
              <w:t>Ensure all staff involved in the unit have access to</w:t>
            </w:r>
            <w:r w:rsidR="00A10999">
              <w:t xml:space="preserve"> </w:t>
            </w:r>
            <w:r w:rsidR="00953BD0">
              <w:t xml:space="preserve">the </w:t>
            </w:r>
            <w:r w:rsidR="00A10999">
              <w:t>unit’s LMS and additional resources</w:t>
            </w:r>
            <w:r w:rsidR="009917CE">
              <w:t>, as required (e.g., text(s), all reading material,</w:t>
            </w:r>
            <w:r w:rsidR="0060202C">
              <w:t xml:space="preserve"> handouts, notes;</w:t>
            </w:r>
            <w:r w:rsidRPr="00836CDC">
              <w:t xml:space="preserve"> </w:t>
            </w:r>
            <w:r w:rsidR="009917CE" w:rsidRPr="00836CDC">
              <w:t>teaching session questions and solutions</w:t>
            </w:r>
            <w:r w:rsidR="0060202C">
              <w:t xml:space="preserve">; </w:t>
            </w:r>
            <w:r w:rsidR="0060202C" w:rsidRPr="00836CDC">
              <w:t>assessment tasks and rubrics</w:t>
            </w:r>
            <w:r w:rsidR="009917CE">
              <w:t>).</w:t>
            </w:r>
          </w:p>
        </w:tc>
      </w:tr>
      <w:tr w:rsidR="00403182" w14:paraId="01B9F5B2" w14:textId="77777777" w:rsidTr="004F7A22">
        <w:tc>
          <w:tcPr>
            <w:tcW w:w="9493" w:type="dxa"/>
          </w:tcPr>
          <w:p w14:paraId="688642B5" w14:textId="5AA6CF3B" w:rsidR="00403182" w:rsidRPr="00836CDC" w:rsidRDefault="00403182" w:rsidP="00576049">
            <w:r w:rsidRPr="00836CDC">
              <w:rPr>
                <w:rFonts w:ascii="Calibri" w:eastAsia="Times New Roman" w:hAnsi="Calibri"/>
              </w:rPr>
              <w:t xml:space="preserve">Communicate appropriate information to teaching staff </w:t>
            </w:r>
            <w:r w:rsidR="006E0974">
              <w:rPr>
                <w:rFonts w:ascii="Calibri" w:eastAsia="Times New Roman" w:hAnsi="Calibri"/>
              </w:rPr>
              <w:t>regarding</w:t>
            </w:r>
            <w:r w:rsidRPr="00836CDC">
              <w:rPr>
                <w:rFonts w:ascii="Calibri" w:eastAsia="Times New Roman" w:hAnsi="Calibri"/>
              </w:rPr>
              <w:t xml:space="preserve"> support available to ensure their safety during unit teaching sessions (e.g., contact for security).</w:t>
            </w:r>
          </w:p>
        </w:tc>
      </w:tr>
      <w:tr w:rsidR="00403182" w14:paraId="1EAF2479" w14:textId="77777777" w:rsidTr="004F7A22">
        <w:tc>
          <w:tcPr>
            <w:tcW w:w="9493" w:type="dxa"/>
          </w:tcPr>
          <w:p w14:paraId="11C71CF9" w14:textId="08E4516E" w:rsidR="00403182" w:rsidRPr="00836CDC" w:rsidRDefault="006C2081" w:rsidP="00576049">
            <w:pPr>
              <w:rPr>
                <w:rFonts w:ascii="Calibri" w:eastAsia="Times New Roman" w:hAnsi="Calibri"/>
              </w:rPr>
            </w:pPr>
            <w:r>
              <w:t>Coordinate, induct, mentor</w:t>
            </w:r>
            <w:r w:rsidR="001400E5">
              <w:t>,</w:t>
            </w:r>
            <w:r>
              <w:t xml:space="preserve"> and provide guidance and direction to staff teaching the unit, including c</w:t>
            </w:r>
            <w:r w:rsidR="00324611" w:rsidRPr="00836CDC">
              <w:t>asual teaching staff, as appropriate.</w:t>
            </w:r>
          </w:p>
        </w:tc>
      </w:tr>
      <w:tr w:rsidR="00FC1216" w14:paraId="426BFC2A" w14:textId="77777777" w:rsidTr="004F7A22">
        <w:tc>
          <w:tcPr>
            <w:tcW w:w="9493" w:type="dxa"/>
          </w:tcPr>
          <w:p w14:paraId="0F5EC9AF" w14:textId="3032BA11" w:rsidR="00FC1216" w:rsidRPr="00836CDC" w:rsidRDefault="00FC1216" w:rsidP="00576049">
            <w:r w:rsidRPr="00836CDC">
              <w:t xml:space="preserve">Approve payment for casual teaching staff in a timely manner through </w:t>
            </w:r>
            <w:r w:rsidR="004A7B6B" w:rsidRPr="004A7B6B">
              <w:rPr>
                <w:lang w:val="en-GB"/>
              </w:rPr>
              <w:t>payment approval systems (e.g., Human</w:t>
            </w:r>
            <w:r w:rsidR="0056353A">
              <w:rPr>
                <w:lang w:val="en-GB"/>
              </w:rPr>
              <w:t xml:space="preserve"> </w:t>
            </w:r>
            <w:r w:rsidR="004A7B6B" w:rsidRPr="004A7B6B">
              <w:rPr>
                <w:lang w:val="en-GB"/>
              </w:rPr>
              <w:t>Force)</w:t>
            </w:r>
            <w:r w:rsidR="004A7B6B">
              <w:rPr>
                <w:lang w:val="en-GB"/>
              </w:rPr>
              <w:t>.</w:t>
            </w:r>
          </w:p>
        </w:tc>
      </w:tr>
      <w:tr w:rsidR="00DF55EC" w14:paraId="3AEEAEF3" w14:textId="77777777" w:rsidTr="004F7A22">
        <w:tc>
          <w:tcPr>
            <w:tcW w:w="9493" w:type="dxa"/>
          </w:tcPr>
          <w:p w14:paraId="700996E4" w14:textId="486A94E9" w:rsidR="00DF55EC" w:rsidRPr="00836CDC" w:rsidRDefault="001D02CF" w:rsidP="00576049">
            <w:r>
              <w:t>Where applicable, e</w:t>
            </w:r>
            <w:r w:rsidR="00DF55EC" w:rsidRPr="00DF55EC">
              <w:t>nsure unit budget is set and submitted according to School approval processes.</w:t>
            </w:r>
          </w:p>
        </w:tc>
      </w:tr>
      <w:tr w:rsidR="00FC1216" w14:paraId="11F565E4" w14:textId="77777777" w:rsidTr="004F7A22">
        <w:tc>
          <w:tcPr>
            <w:tcW w:w="9493" w:type="dxa"/>
          </w:tcPr>
          <w:p w14:paraId="53EEF9E3" w14:textId="0A619011" w:rsidR="00FC1216" w:rsidRPr="008B314E" w:rsidRDefault="00FC1216" w:rsidP="00576049">
            <w:r w:rsidRPr="008B314E">
              <w:t xml:space="preserve">Monitor </w:t>
            </w:r>
            <w:r w:rsidR="00E3739D" w:rsidRPr="008B314E">
              <w:t xml:space="preserve">unit </w:t>
            </w:r>
            <w:r w:rsidRPr="008B314E">
              <w:t xml:space="preserve">expenditure via monthly </w:t>
            </w:r>
            <w:r w:rsidR="00E3739D" w:rsidRPr="008B314E">
              <w:t>reporting</w:t>
            </w:r>
            <w:r w:rsidRPr="008B314E">
              <w:t xml:space="preserve"> (pshelp-fin</w:t>
            </w:r>
            <w:r w:rsidR="00BE371D" w:rsidRPr="008B314E">
              <w:t>serv</w:t>
            </w:r>
            <w:r w:rsidRPr="008B314E">
              <w:t>@uwa.edu.au)</w:t>
            </w:r>
            <w:r w:rsidR="00BE371D" w:rsidRPr="008B314E">
              <w:t>.</w:t>
            </w:r>
          </w:p>
        </w:tc>
      </w:tr>
    </w:tbl>
    <w:p w14:paraId="53B03A08" w14:textId="77777777" w:rsidR="00707571" w:rsidRDefault="00707571" w:rsidP="008B314E">
      <w:pPr>
        <w:rPr>
          <w:highlight w:val="yellow"/>
        </w:rPr>
      </w:pPr>
    </w:p>
    <w:p w14:paraId="59104ECA" w14:textId="6EDA18B3" w:rsidR="009350B0" w:rsidRPr="00F2743C" w:rsidRDefault="00AD5DA5" w:rsidP="00F2743C">
      <w:pPr>
        <w:rPr>
          <w:b/>
          <w:bCs/>
          <w:color w:val="0563C1" w:themeColor="hyperlink"/>
          <w:sz w:val="20"/>
          <w:szCs w:val="20"/>
          <w:u w:val="single"/>
        </w:rPr>
      </w:pPr>
      <w:r w:rsidRPr="004A6015">
        <w:rPr>
          <w:b/>
          <w:bCs/>
          <w:sz w:val="20"/>
          <w:szCs w:val="20"/>
        </w:rPr>
        <w:t>For policy links:</w:t>
      </w:r>
      <w:hyperlink r:id="rId7" w:history="1">
        <w:r w:rsidRPr="004A6015">
          <w:rPr>
            <w:rStyle w:val="Hyperlink"/>
            <w:b/>
            <w:bCs/>
            <w:sz w:val="20"/>
            <w:szCs w:val="20"/>
          </w:rPr>
          <w:t xml:space="preserve"> UWA Policy Library</w:t>
        </w:r>
      </w:hyperlink>
    </w:p>
    <w:sectPr w:rsidR="009350B0" w:rsidRPr="00F2743C" w:rsidSect="008970C3"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1449" w14:textId="77777777" w:rsidR="00D820A1" w:rsidRDefault="00D820A1" w:rsidP="0073736F">
      <w:pPr>
        <w:spacing w:after="0" w:line="240" w:lineRule="auto"/>
      </w:pPr>
      <w:r>
        <w:separator/>
      </w:r>
    </w:p>
  </w:endnote>
  <w:endnote w:type="continuationSeparator" w:id="0">
    <w:p w14:paraId="1BBF169A" w14:textId="77777777" w:rsidR="00D820A1" w:rsidRDefault="00D820A1" w:rsidP="0073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884475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48CF690A" w14:textId="73AC9CAA" w:rsidR="00000293" w:rsidRPr="00000293" w:rsidRDefault="00000293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000293">
          <w:rPr>
            <w:rFonts w:ascii="Arial" w:hAnsi="Arial" w:cs="Arial"/>
            <w:sz w:val="18"/>
            <w:szCs w:val="18"/>
          </w:rPr>
          <w:fldChar w:fldCharType="begin"/>
        </w:r>
        <w:r w:rsidRPr="0000029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00293">
          <w:rPr>
            <w:rFonts w:ascii="Arial" w:hAnsi="Arial" w:cs="Arial"/>
            <w:sz w:val="18"/>
            <w:szCs w:val="18"/>
          </w:rPr>
          <w:fldChar w:fldCharType="separate"/>
        </w:r>
        <w:r w:rsidRPr="00000293">
          <w:rPr>
            <w:rFonts w:ascii="Arial" w:hAnsi="Arial" w:cs="Arial"/>
            <w:noProof/>
            <w:sz w:val="18"/>
            <w:szCs w:val="18"/>
          </w:rPr>
          <w:t>2</w:t>
        </w:r>
        <w:r w:rsidRPr="00000293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05312119" w14:textId="77777777" w:rsidR="00000293" w:rsidRDefault="00000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1990" w14:textId="77777777" w:rsidR="00D820A1" w:rsidRDefault="00D820A1" w:rsidP="0073736F">
      <w:pPr>
        <w:spacing w:after="0" w:line="240" w:lineRule="auto"/>
      </w:pPr>
      <w:r>
        <w:separator/>
      </w:r>
    </w:p>
  </w:footnote>
  <w:footnote w:type="continuationSeparator" w:id="0">
    <w:p w14:paraId="13643348" w14:textId="77777777" w:rsidR="00D820A1" w:rsidRDefault="00D820A1" w:rsidP="0073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2EB9" w14:textId="3A26F0A2" w:rsidR="008970C3" w:rsidRDefault="008970C3">
    <w:pPr>
      <w:pStyle w:val="Header"/>
    </w:pPr>
    <w:r w:rsidRPr="00C26EF2">
      <w:rPr>
        <w:rFonts w:cstheme="minorHAnsi"/>
        <w:noProof/>
        <w:lang w:eastAsia="en-AU"/>
      </w:rPr>
      <w:drawing>
        <wp:anchor distT="0" distB="0" distL="114300" distR="114300" simplePos="0" relativeHeight="251659264" behindDoc="0" locked="0" layoutInCell="1" allowOverlap="1" wp14:anchorId="02EA3F50" wp14:editId="1B838CD8">
          <wp:simplePos x="0" y="0"/>
          <wp:positionH relativeFrom="column">
            <wp:posOffset>2413000</wp:posOffset>
          </wp:positionH>
          <wp:positionV relativeFrom="paragraph">
            <wp:posOffset>-188595</wp:posOffset>
          </wp:positionV>
          <wp:extent cx="1257300" cy="413017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A-Full-Hor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13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94"/>
    <w:multiLevelType w:val="hybridMultilevel"/>
    <w:tmpl w:val="BB1A5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5F9"/>
    <w:multiLevelType w:val="hybridMultilevel"/>
    <w:tmpl w:val="3A346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02E6"/>
    <w:multiLevelType w:val="hybridMultilevel"/>
    <w:tmpl w:val="A266A53A"/>
    <w:lvl w:ilvl="0" w:tplc="8F785292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D7ACF"/>
    <w:multiLevelType w:val="hybridMultilevel"/>
    <w:tmpl w:val="587ACB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C22E45"/>
    <w:multiLevelType w:val="hybridMultilevel"/>
    <w:tmpl w:val="860E4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F00D8"/>
    <w:multiLevelType w:val="hybridMultilevel"/>
    <w:tmpl w:val="30B4C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66CC8"/>
    <w:multiLevelType w:val="hybridMultilevel"/>
    <w:tmpl w:val="0C2A1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46CDC"/>
    <w:multiLevelType w:val="hybridMultilevel"/>
    <w:tmpl w:val="0686B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A5485"/>
    <w:multiLevelType w:val="hybridMultilevel"/>
    <w:tmpl w:val="63727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014DA"/>
    <w:multiLevelType w:val="hybridMultilevel"/>
    <w:tmpl w:val="3C8A0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285217">
    <w:abstractNumId w:val="2"/>
  </w:num>
  <w:num w:numId="2" w16cid:durableId="1166096104">
    <w:abstractNumId w:val="6"/>
  </w:num>
  <w:num w:numId="3" w16cid:durableId="1679045198">
    <w:abstractNumId w:val="4"/>
  </w:num>
  <w:num w:numId="4" w16cid:durableId="1831095069">
    <w:abstractNumId w:val="8"/>
  </w:num>
  <w:num w:numId="5" w16cid:durableId="1038967802">
    <w:abstractNumId w:val="9"/>
  </w:num>
  <w:num w:numId="6" w16cid:durableId="1640918034">
    <w:abstractNumId w:val="0"/>
  </w:num>
  <w:num w:numId="7" w16cid:durableId="1746801451">
    <w:abstractNumId w:val="7"/>
  </w:num>
  <w:num w:numId="8" w16cid:durableId="328485641">
    <w:abstractNumId w:val="1"/>
  </w:num>
  <w:num w:numId="9" w16cid:durableId="1463308748">
    <w:abstractNumId w:val="5"/>
  </w:num>
  <w:num w:numId="10" w16cid:durableId="1312365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70"/>
    <w:rsid w:val="00000293"/>
    <w:rsid w:val="00023B02"/>
    <w:rsid w:val="00027DDA"/>
    <w:rsid w:val="00027E72"/>
    <w:rsid w:val="0003423E"/>
    <w:rsid w:val="0005049D"/>
    <w:rsid w:val="0005338D"/>
    <w:rsid w:val="00054277"/>
    <w:rsid w:val="00067937"/>
    <w:rsid w:val="00067C54"/>
    <w:rsid w:val="00072544"/>
    <w:rsid w:val="000734B8"/>
    <w:rsid w:val="00076A87"/>
    <w:rsid w:val="000800E3"/>
    <w:rsid w:val="000919FA"/>
    <w:rsid w:val="000A53CA"/>
    <w:rsid w:val="000B5DA1"/>
    <w:rsid w:val="000C2976"/>
    <w:rsid w:val="000C538F"/>
    <w:rsid w:val="000C5856"/>
    <w:rsid w:val="000C6971"/>
    <w:rsid w:val="00101172"/>
    <w:rsid w:val="00112C24"/>
    <w:rsid w:val="00125F40"/>
    <w:rsid w:val="00126492"/>
    <w:rsid w:val="001400E5"/>
    <w:rsid w:val="00142C5E"/>
    <w:rsid w:val="00152B69"/>
    <w:rsid w:val="001561AC"/>
    <w:rsid w:val="001606EB"/>
    <w:rsid w:val="00172E86"/>
    <w:rsid w:val="001766E5"/>
    <w:rsid w:val="00182A33"/>
    <w:rsid w:val="001912A7"/>
    <w:rsid w:val="00192628"/>
    <w:rsid w:val="0019693C"/>
    <w:rsid w:val="001B72C9"/>
    <w:rsid w:val="001C0079"/>
    <w:rsid w:val="001C6892"/>
    <w:rsid w:val="001D02CF"/>
    <w:rsid w:val="001D0658"/>
    <w:rsid w:val="001D553C"/>
    <w:rsid w:val="001F4EDF"/>
    <w:rsid w:val="001F728F"/>
    <w:rsid w:val="002002D3"/>
    <w:rsid w:val="0021247F"/>
    <w:rsid w:val="00225023"/>
    <w:rsid w:val="00227D7A"/>
    <w:rsid w:val="002477D1"/>
    <w:rsid w:val="00251535"/>
    <w:rsid w:val="00257304"/>
    <w:rsid w:val="00271BE6"/>
    <w:rsid w:val="002762A8"/>
    <w:rsid w:val="00290D2E"/>
    <w:rsid w:val="00291F81"/>
    <w:rsid w:val="002B1887"/>
    <w:rsid w:val="002C46BE"/>
    <w:rsid w:val="002C7049"/>
    <w:rsid w:val="002C7198"/>
    <w:rsid w:val="002E1359"/>
    <w:rsid w:val="002E5F32"/>
    <w:rsid w:val="002E746F"/>
    <w:rsid w:val="002F6753"/>
    <w:rsid w:val="003002A3"/>
    <w:rsid w:val="0030142A"/>
    <w:rsid w:val="00304703"/>
    <w:rsid w:val="00311014"/>
    <w:rsid w:val="00316860"/>
    <w:rsid w:val="0032184A"/>
    <w:rsid w:val="00324611"/>
    <w:rsid w:val="003311A6"/>
    <w:rsid w:val="00334300"/>
    <w:rsid w:val="00335C4A"/>
    <w:rsid w:val="00341F74"/>
    <w:rsid w:val="0034721A"/>
    <w:rsid w:val="00355CE8"/>
    <w:rsid w:val="003628F9"/>
    <w:rsid w:val="00366C3E"/>
    <w:rsid w:val="003A329D"/>
    <w:rsid w:val="003C2AB9"/>
    <w:rsid w:val="003C50D6"/>
    <w:rsid w:val="003E2CAA"/>
    <w:rsid w:val="004000DD"/>
    <w:rsid w:val="00402235"/>
    <w:rsid w:val="004027A2"/>
    <w:rsid w:val="00403182"/>
    <w:rsid w:val="00415414"/>
    <w:rsid w:val="004332F0"/>
    <w:rsid w:val="004526EE"/>
    <w:rsid w:val="0045742C"/>
    <w:rsid w:val="004732B1"/>
    <w:rsid w:val="004748F6"/>
    <w:rsid w:val="00481D4A"/>
    <w:rsid w:val="004A34E0"/>
    <w:rsid w:val="004A6015"/>
    <w:rsid w:val="004A7B6B"/>
    <w:rsid w:val="004C6B82"/>
    <w:rsid w:val="004D1C94"/>
    <w:rsid w:val="004E08A4"/>
    <w:rsid w:val="004E3BC6"/>
    <w:rsid w:val="004F65AB"/>
    <w:rsid w:val="004F7A22"/>
    <w:rsid w:val="0050743C"/>
    <w:rsid w:val="00517776"/>
    <w:rsid w:val="005304FD"/>
    <w:rsid w:val="00533782"/>
    <w:rsid w:val="00537228"/>
    <w:rsid w:val="00546CBB"/>
    <w:rsid w:val="00547E35"/>
    <w:rsid w:val="00551F0C"/>
    <w:rsid w:val="00557674"/>
    <w:rsid w:val="0056353A"/>
    <w:rsid w:val="00570487"/>
    <w:rsid w:val="00571082"/>
    <w:rsid w:val="0057149C"/>
    <w:rsid w:val="00576049"/>
    <w:rsid w:val="005800BA"/>
    <w:rsid w:val="005971CA"/>
    <w:rsid w:val="005A1788"/>
    <w:rsid w:val="005A4C08"/>
    <w:rsid w:val="005B1B35"/>
    <w:rsid w:val="005C2A43"/>
    <w:rsid w:val="005D103E"/>
    <w:rsid w:val="005D153A"/>
    <w:rsid w:val="005F3967"/>
    <w:rsid w:val="0060202C"/>
    <w:rsid w:val="00602512"/>
    <w:rsid w:val="00605595"/>
    <w:rsid w:val="006132D8"/>
    <w:rsid w:val="006229F6"/>
    <w:rsid w:val="00643239"/>
    <w:rsid w:val="006673AA"/>
    <w:rsid w:val="0067099C"/>
    <w:rsid w:val="00687CDC"/>
    <w:rsid w:val="006907A7"/>
    <w:rsid w:val="00692E2E"/>
    <w:rsid w:val="006A3122"/>
    <w:rsid w:val="006C2081"/>
    <w:rsid w:val="006C675D"/>
    <w:rsid w:val="006E0974"/>
    <w:rsid w:val="006E449A"/>
    <w:rsid w:val="006F666B"/>
    <w:rsid w:val="00707571"/>
    <w:rsid w:val="0071374A"/>
    <w:rsid w:val="00722BF0"/>
    <w:rsid w:val="00736462"/>
    <w:rsid w:val="0073736F"/>
    <w:rsid w:val="007433C0"/>
    <w:rsid w:val="00746A79"/>
    <w:rsid w:val="00747E68"/>
    <w:rsid w:val="007579C5"/>
    <w:rsid w:val="00761075"/>
    <w:rsid w:val="00763521"/>
    <w:rsid w:val="00764568"/>
    <w:rsid w:val="00770AF7"/>
    <w:rsid w:val="0077266F"/>
    <w:rsid w:val="00775C56"/>
    <w:rsid w:val="007949C4"/>
    <w:rsid w:val="007A748F"/>
    <w:rsid w:val="007A7E6F"/>
    <w:rsid w:val="007C182C"/>
    <w:rsid w:val="007C48A3"/>
    <w:rsid w:val="007D1C39"/>
    <w:rsid w:val="007D4328"/>
    <w:rsid w:val="007D67BE"/>
    <w:rsid w:val="007E4C0E"/>
    <w:rsid w:val="007F4267"/>
    <w:rsid w:val="007F5BEB"/>
    <w:rsid w:val="008004D9"/>
    <w:rsid w:val="008047D5"/>
    <w:rsid w:val="00810415"/>
    <w:rsid w:val="00827CF6"/>
    <w:rsid w:val="00830E33"/>
    <w:rsid w:val="00833241"/>
    <w:rsid w:val="00836CDC"/>
    <w:rsid w:val="00843301"/>
    <w:rsid w:val="00846354"/>
    <w:rsid w:val="00856832"/>
    <w:rsid w:val="00857462"/>
    <w:rsid w:val="00860612"/>
    <w:rsid w:val="008650E0"/>
    <w:rsid w:val="008672A3"/>
    <w:rsid w:val="00872D6A"/>
    <w:rsid w:val="00874F3B"/>
    <w:rsid w:val="00885F36"/>
    <w:rsid w:val="00891A14"/>
    <w:rsid w:val="008970C3"/>
    <w:rsid w:val="00897523"/>
    <w:rsid w:val="008A1B9B"/>
    <w:rsid w:val="008A53CC"/>
    <w:rsid w:val="008A66AB"/>
    <w:rsid w:val="008B314E"/>
    <w:rsid w:val="008D5563"/>
    <w:rsid w:val="008F3434"/>
    <w:rsid w:val="008F50F2"/>
    <w:rsid w:val="008F79E4"/>
    <w:rsid w:val="0090655E"/>
    <w:rsid w:val="00910F5E"/>
    <w:rsid w:val="00932E00"/>
    <w:rsid w:val="009350B0"/>
    <w:rsid w:val="00944890"/>
    <w:rsid w:val="00951636"/>
    <w:rsid w:val="00953BD0"/>
    <w:rsid w:val="00954199"/>
    <w:rsid w:val="00960417"/>
    <w:rsid w:val="00975080"/>
    <w:rsid w:val="00976017"/>
    <w:rsid w:val="00977BF1"/>
    <w:rsid w:val="009915FD"/>
    <w:rsid w:val="009917CE"/>
    <w:rsid w:val="00994CFF"/>
    <w:rsid w:val="00996014"/>
    <w:rsid w:val="009A613F"/>
    <w:rsid w:val="009B2EF2"/>
    <w:rsid w:val="009B507A"/>
    <w:rsid w:val="009B6F64"/>
    <w:rsid w:val="009C505F"/>
    <w:rsid w:val="009F3115"/>
    <w:rsid w:val="00A0000A"/>
    <w:rsid w:val="00A00947"/>
    <w:rsid w:val="00A039D6"/>
    <w:rsid w:val="00A05CD5"/>
    <w:rsid w:val="00A10999"/>
    <w:rsid w:val="00A12C4A"/>
    <w:rsid w:val="00A2135D"/>
    <w:rsid w:val="00A22BA8"/>
    <w:rsid w:val="00A2418F"/>
    <w:rsid w:val="00A3076D"/>
    <w:rsid w:val="00A30D64"/>
    <w:rsid w:val="00A364DF"/>
    <w:rsid w:val="00A37C20"/>
    <w:rsid w:val="00A50650"/>
    <w:rsid w:val="00A67D0C"/>
    <w:rsid w:val="00A76F22"/>
    <w:rsid w:val="00A82B65"/>
    <w:rsid w:val="00A82C16"/>
    <w:rsid w:val="00A86777"/>
    <w:rsid w:val="00A93D73"/>
    <w:rsid w:val="00A95838"/>
    <w:rsid w:val="00AA3B24"/>
    <w:rsid w:val="00AB60DB"/>
    <w:rsid w:val="00AD5DA5"/>
    <w:rsid w:val="00AF4C07"/>
    <w:rsid w:val="00B01F1D"/>
    <w:rsid w:val="00B04E1F"/>
    <w:rsid w:val="00B05EB8"/>
    <w:rsid w:val="00B07448"/>
    <w:rsid w:val="00B12CBE"/>
    <w:rsid w:val="00B32DF6"/>
    <w:rsid w:val="00B376FE"/>
    <w:rsid w:val="00B476DF"/>
    <w:rsid w:val="00B4781A"/>
    <w:rsid w:val="00B5405E"/>
    <w:rsid w:val="00B564A0"/>
    <w:rsid w:val="00B751E5"/>
    <w:rsid w:val="00B849C3"/>
    <w:rsid w:val="00BA025A"/>
    <w:rsid w:val="00BA2428"/>
    <w:rsid w:val="00BA56A1"/>
    <w:rsid w:val="00BC0904"/>
    <w:rsid w:val="00BC4A5D"/>
    <w:rsid w:val="00BE371D"/>
    <w:rsid w:val="00BE4083"/>
    <w:rsid w:val="00BF195B"/>
    <w:rsid w:val="00BF43D4"/>
    <w:rsid w:val="00BF6B51"/>
    <w:rsid w:val="00C00B80"/>
    <w:rsid w:val="00C0352F"/>
    <w:rsid w:val="00C07F46"/>
    <w:rsid w:val="00C27A9A"/>
    <w:rsid w:val="00C447D3"/>
    <w:rsid w:val="00C742BA"/>
    <w:rsid w:val="00C91FFF"/>
    <w:rsid w:val="00CA22DB"/>
    <w:rsid w:val="00CB401A"/>
    <w:rsid w:val="00CB567B"/>
    <w:rsid w:val="00CD4904"/>
    <w:rsid w:val="00CD6894"/>
    <w:rsid w:val="00CD6CBE"/>
    <w:rsid w:val="00CE3A83"/>
    <w:rsid w:val="00CE469C"/>
    <w:rsid w:val="00CF21CE"/>
    <w:rsid w:val="00D12913"/>
    <w:rsid w:val="00D1480D"/>
    <w:rsid w:val="00D27031"/>
    <w:rsid w:val="00D30C5E"/>
    <w:rsid w:val="00D35B36"/>
    <w:rsid w:val="00D64010"/>
    <w:rsid w:val="00D70FCF"/>
    <w:rsid w:val="00D77F2C"/>
    <w:rsid w:val="00D820A1"/>
    <w:rsid w:val="00D93663"/>
    <w:rsid w:val="00DA5D92"/>
    <w:rsid w:val="00DD2E47"/>
    <w:rsid w:val="00DD4E81"/>
    <w:rsid w:val="00DE3D78"/>
    <w:rsid w:val="00DF55EC"/>
    <w:rsid w:val="00DF7BBA"/>
    <w:rsid w:val="00E00180"/>
    <w:rsid w:val="00E037DA"/>
    <w:rsid w:val="00E04262"/>
    <w:rsid w:val="00E11AA0"/>
    <w:rsid w:val="00E13357"/>
    <w:rsid w:val="00E20601"/>
    <w:rsid w:val="00E21DFE"/>
    <w:rsid w:val="00E23F9E"/>
    <w:rsid w:val="00E3739D"/>
    <w:rsid w:val="00E45BCC"/>
    <w:rsid w:val="00E47C6E"/>
    <w:rsid w:val="00E531FF"/>
    <w:rsid w:val="00E668C3"/>
    <w:rsid w:val="00E91430"/>
    <w:rsid w:val="00EC0C76"/>
    <w:rsid w:val="00EC1F32"/>
    <w:rsid w:val="00EC2B3B"/>
    <w:rsid w:val="00ED1CDE"/>
    <w:rsid w:val="00ED38B7"/>
    <w:rsid w:val="00ED6FEE"/>
    <w:rsid w:val="00ED74D2"/>
    <w:rsid w:val="00EF6E2B"/>
    <w:rsid w:val="00F010F2"/>
    <w:rsid w:val="00F0153F"/>
    <w:rsid w:val="00F01E1E"/>
    <w:rsid w:val="00F02A07"/>
    <w:rsid w:val="00F0415A"/>
    <w:rsid w:val="00F16A61"/>
    <w:rsid w:val="00F17370"/>
    <w:rsid w:val="00F23F65"/>
    <w:rsid w:val="00F249A1"/>
    <w:rsid w:val="00F271E3"/>
    <w:rsid w:val="00F2743C"/>
    <w:rsid w:val="00F36F1B"/>
    <w:rsid w:val="00F429B3"/>
    <w:rsid w:val="00F54F28"/>
    <w:rsid w:val="00F67756"/>
    <w:rsid w:val="00F733E1"/>
    <w:rsid w:val="00F805BF"/>
    <w:rsid w:val="00F81E4A"/>
    <w:rsid w:val="00FB77BF"/>
    <w:rsid w:val="00FB7E60"/>
    <w:rsid w:val="00FC0959"/>
    <w:rsid w:val="00FC1216"/>
    <w:rsid w:val="00FC69F5"/>
    <w:rsid w:val="00FD467D"/>
    <w:rsid w:val="00FE51E3"/>
    <w:rsid w:val="00FF2D3B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88ECD"/>
  <w15:chartTrackingRefBased/>
  <w15:docId w15:val="{C9C2A4F7-C4A4-4344-9252-8C47B868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F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373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73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736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250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E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426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2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D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D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D3B"/>
    <w:rPr>
      <w:b/>
      <w:bCs/>
      <w:sz w:val="20"/>
      <w:szCs w:val="20"/>
    </w:rPr>
  </w:style>
  <w:style w:type="paragraph" w:customStyle="1" w:styleId="p1">
    <w:name w:val="p1"/>
    <w:basedOn w:val="Normal"/>
    <w:rsid w:val="00576049"/>
    <w:pPr>
      <w:spacing w:after="0" w:line="240" w:lineRule="auto"/>
    </w:pPr>
    <w:rPr>
      <w:rFonts w:ascii="Helvetica Neue" w:hAnsi="Helvetica Neue" w:cs="Calibri"/>
      <w:color w:val="3F3F3F"/>
      <w:sz w:val="20"/>
      <w:szCs w:val="20"/>
      <w:lang w:eastAsia="en-AU"/>
    </w:rPr>
  </w:style>
  <w:style w:type="character" w:customStyle="1" w:styleId="apple-converted-space">
    <w:name w:val="apple-converted-space"/>
    <w:basedOn w:val="DefaultParagraphFont"/>
    <w:rsid w:val="00576049"/>
  </w:style>
  <w:style w:type="character" w:customStyle="1" w:styleId="ui-provider">
    <w:name w:val="ui-provider"/>
    <w:basedOn w:val="DefaultParagraphFont"/>
    <w:rsid w:val="00975080"/>
  </w:style>
  <w:style w:type="paragraph" w:styleId="Header">
    <w:name w:val="header"/>
    <w:basedOn w:val="Normal"/>
    <w:link w:val="HeaderChar"/>
    <w:uiPriority w:val="99"/>
    <w:unhideWhenUsed/>
    <w:rsid w:val="005D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53A"/>
  </w:style>
  <w:style w:type="paragraph" w:styleId="Footer">
    <w:name w:val="footer"/>
    <w:basedOn w:val="Normal"/>
    <w:link w:val="FooterChar"/>
    <w:uiPriority w:val="99"/>
    <w:unhideWhenUsed/>
    <w:rsid w:val="005D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53A"/>
  </w:style>
  <w:style w:type="paragraph" w:styleId="Revision">
    <w:name w:val="Revision"/>
    <w:hidden/>
    <w:uiPriority w:val="99"/>
    <w:semiHidden/>
    <w:rsid w:val="001D02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wa.edu.au/policy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1766</Words>
  <Characters>10072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Jackson</dc:creator>
  <cp:keywords/>
  <dc:description/>
  <cp:lastModifiedBy>Tim McMahon</cp:lastModifiedBy>
  <cp:revision>2</cp:revision>
  <cp:lastPrinted>2023-05-19T04:21:00Z</cp:lastPrinted>
  <dcterms:created xsi:type="dcterms:W3CDTF">2024-05-16T00:10:00Z</dcterms:created>
  <dcterms:modified xsi:type="dcterms:W3CDTF">2024-05-16T00:10:00Z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eeb302e2bc327ddcc6a028a059a6fccafdd8678cc5843f4662583543a832eff4</vt:lpwstr>
  </property>
</Properties>
</file>