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79BC" w14:textId="45A42418" w:rsidR="009B6052" w:rsidRDefault="004A679B" w:rsidP="00F4427E">
      <w:pPr>
        <w:pStyle w:val="Title"/>
        <w:rPr>
          <w:noProof/>
        </w:rPr>
      </w:pPr>
      <w:r>
        <w:rPr>
          <w:noProof/>
        </w:rPr>
        <w:drawing>
          <wp:anchor distT="0" distB="0" distL="114300" distR="114300" simplePos="0" relativeHeight="251658242" behindDoc="1" locked="0" layoutInCell="1" allowOverlap="1" wp14:anchorId="7CA7036F" wp14:editId="4BA147AE">
            <wp:simplePos x="0" y="0"/>
            <wp:positionH relativeFrom="column">
              <wp:posOffset>-447675</wp:posOffset>
            </wp:positionH>
            <wp:positionV relativeFrom="paragraph">
              <wp:posOffset>-485775</wp:posOffset>
            </wp:positionV>
            <wp:extent cx="7541895" cy="2692925"/>
            <wp:effectExtent l="0" t="0" r="1905" b="0"/>
            <wp:wrapNone/>
            <wp:docPr id="4" name="Picture 16" descr="alt=&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t=&quot;  &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8579" cy="2698882"/>
                    </a:xfrm>
                    <a:prstGeom prst="rect">
                      <a:avLst/>
                    </a:prstGeom>
                    <a:noFill/>
                    <a:ln>
                      <a:noFill/>
                    </a:ln>
                  </pic:spPr>
                </pic:pic>
              </a:graphicData>
            </a:graphic>
            <wp14:sizeRelH relativeFrom="page">
              <wp14:pctWidth>0</wp14:pctWidth>
            </wp14:sizeRelH>
            <wp14:sizeRelV relativeFrom="page">
              <wp14:pctHeight>0</wp14:pctHeight>
            </wp14:sizeRelV>
          </wp:anchor>
        </w:drawing>
      </w:r>
      <w:r w:rsidR="00171C64">
        <w:rPr>
          <w:noProof/>
        </w:rPr>
        <mc:AlternateContent>
          <mc:Choice Requires="wps">
            <w:drawing>
              <wp:anchor distT="0" distB="0" distL="114300" distR="114300" simplePos="0" relativeHeight="251658243" behindDoc="0" locked="0" layoutInCell="1" allowOverlap="1" wp14:anchorId="1CD86B28" wp14:editId="11124AD7">
                <wp:simplePos x="0" y="0"/>
                <wp:positionH relativeFrom="column">
                  <wp:posOffset>4391025</wp:posOffset>
                </wp:positionH>
                <wp:positionV relativeFrom="paragraph">
                  <wp:posOffset>-95250</wp:posOffset>
                </wp:positionV>
                <wp:extent cx="2703195" cy="1153160"/>
                <wp:effectExtent l="0" t="0" r="0" b="0"/>
                <wp:wrapNone/>
                <wp:docPr id="9" name="Rectangle 9" descr="alt=&quot;  &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1531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D36C91" id="Rectangle 9" o:spid="_x0000_s1026" alt="alt=&quot;  &quot;" style="position:absolute;margin-left:345.75pt;margin-top:-7.5pt;width:212.85pt;height:9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" fillcolor="window" stroked="f" strokeweight="1pt"/>
            </w:pict>
          </mc:Fallback>
        </mc:AlternateContent>
      </w:r>
      <w:r w:rsidR="00171C64">
        <w:rPr>
          <w:noProof/>
        </w:rPr>
        <w:drawing>
          <wp:anchor distT="0" distB="3683" distL="114300" distR="114300" simplePos="0" relativeHeight="251658244" behindDoc="0" locked="0" layoutInCell="1" allowOverlap="1" wp14:anchorId="3593A829" wp14:editId="25639F43">
            <wp:simplePos x="0" y="0"/>
            <wp:positionH relativeFrom="column">
              <wp:posOffset>4841875</wp:posOffset>
            </wp:positionH>
            <wp:positionV relativeFrom="paragraph">
              <wp:posOffset>209550</wp:posOffset>
            </wp:positionV>
            <wp:extent cx="1739265" cy="571246"/>
            <wp:effectExtent l="0" t="0" r="0" b="0"/>
            <wp:wrapNone/>
            <wp:docPr id="5" name="Picture 1" descr="The University of Western Australia " title="The University of Wester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University of Western Australia " title="The University of Western Australia "/>
                    <pic:cNvPicPr>
                      <a:picLocks noChangeAspect="1"/>
                    </pic:cNvPicPr>
                  </pic:nvPicPr>
                  <pic:blipFill>
                    <a:blip r:embed="rId12" cstate="print"/>
                    <a:stretch>
                      <a:fillRect/>
                    </a:stretch>
                  </pic:blipFill>
                  <pic:spPr>
                    <a:xfrm>
                      <a:off x="0" y="0"/>
                      <a:ext cx="1739265" cy="570865"/>
                    </a:xfrm>
                    <a:prstGeom prst="rect">
                      <a:avLst/>
                    </a:prstGeom>
                  </pic:spPr>
                </pic:pic>
              </a:graphicData>
            </a:graphic>
            <wp14:sizeRelH relativeFrom="page">
              <wp14:pctWidth>0</wp14:pctWidth>
            </wp14:sizeRelH>
            <wp14:sizeRelV relativeFrom="page">
              <wp14:pctHeight>0</wp14:pctHeight>
            </wp14:sizeRelV>
          </wp:anchor>
        </w:drawing>
      </w:r>
      <w:r w:rsidR="00DC4CBF">
        <w:rPr>
          <w:noProof/>
        </w:rPr>
        <w:t>Risk Policy</w:t>
      </w:r>
    </w:p>
    <w:p w14:paraId="5A60265C" w14:textId="07628299" w:rsidR="0010647D" w:rsidRDefault="00171C64" w:rsidP="0010647D">
      <w:r>
        <w:rPr>
          <w:noProof/>
        </w:rPr>
        <mc:AlternateContent>
          <mc:Choice Requires="wps">
            <w:drawing>
              <wp:anchor distT="45720" distB="45720" distL="114300" distR="114300" simplePos="0" relativeHeight="251658240" behindDoc="0" locked="1" layoutInCell="1" allowOverlap="1" wp14:anchorId="2E3BB1A9" wp14:editId="712085E0">
                <wp:simplePos x="0" y="0"/>
                <wp:positionH relativeFrom="column">
                  <wp:posOffset>9525</wp:posOffset>
                </wp:positionH>
                <wp:positionV relativeFrom="paragraph">
                  <wp:posOffset>1489075</wp:posOffset>
                </wp:positionV>
                <wp:extent cx="3200400" cy="1706245"/>
                <wp:effectExtent l="0" t="0" r="0" b="8255"/>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0400" cy="1706245"/>
                        </a:xfrm>
                        <a:prstGeom prst="rect">
                          <a:avLst/>
                        </a:prstGeom>
                        <a:solidFill>
                          <a:srgbClr val="FFFFFF"/>
                        </a:solidFill>
                        <a:ln w="9525">
                          <a:noFill/>
                          <a:miter lim="800000"/>
                          <a:headEnd/>
                          <a:tailEnd/>
                        </a:ln>
                      </wps:spPr>
                      <wps:txbx>
                        <w:txbxContent>
                          <w:p w14:paraId="31C5779D" w14:textId="7D59DA80" w:rsidR="00705231" w:rsidRPr="0037663D" w:rsidRDefault="00705231" w:rsidP="0034568A">
                            <w:pPr>
                              <w:pStyle w:val="Metadata"/>
                              <w:spacing w:line="240" w:lineRule="auto"/>
                              <w:ind w:left="142"/>
                              <w:rPr>
                                <w:sz w:val="10"/>
                                <w:szCs w:val="10"/>
                              </w:rPr>
                            </w:pPr>
                          </w:p>
                          <w:p w14:paraId="5CA5AD7D" w14:textId="5CFEB07C" w:rsidR="0040732E" w:rsidRPr="0037663D" w:rsidRDefault="0040732E" w:rsidP="0034568A">
                            <w:pPr>
                              <w:pStyle w:val="Metadata"/>
                              <w:spacing w:line="240" w:lineRule="auto"/>
                              <w:ind w:left="142"/>
                            </w:pPr>
                            <w:r w:rsidRPr="0037663D">
                              <w:t>Policy</w:t>
                            </w:r>
                            <w:r w:rsidR="00722C84" w:rsidRPr="0037663D">
                              <w:t xml:space="preserve"> Number</w:t>
                            </w:r>
                            <w:r w:rsidRPr="0037663D">
                              <w:tab/>
                            </w:r>
                            <w:r w:rsidRPr="0037663D">
                              <w:rPr>
                                <w:b w:val="0"/>
                              </w:rPr>
                              <w:t>UP</w:t>
                            </w:r>
                            <w:r w:rsidR="00842A9F" w:rsidRPr="0037663D">
                              <w:rPr>
                                <w:b w:val="0"/>
                              </w:rPr>
                              <w:t>21</w:t>
                            </w:r>
                            <w:r w:rsidR="005E16DD" w:rsidRPr="0037663D">
                              <w:rPr>
                                <w:b w:val="0"/>
                              </w:rPr>
                              <w:t>/</w:t>
                            </w:r>
                            <w:r w:rsidR="00DC4CBF" w:rsidRPr="0037663D">
                              <w:rPr>
                                <w:b w:val="0"/>
                              </w:rPr>
                              <w:t>16</w:t>
                            </w:r>
                          </w:p>
                          <w:p w14:paraId="5AFD6F72" w14:textId="763D96E2" w:rsidR="0040732E" w:rsidRPr="0037663D" w:rsidRDefault="00722C84" w:rsidP="0034568A">
                            <w:pPr>
                              <w:pStyle w:val="Metadata"/>
                              <w:spacing w:line="240" w:lineRule="auto"/>
                              <w:ind w:left="142"/>
                            </w:pPr>
                            <w:r w:rsidRPr="0037663D">
                              <w:t>Approval Date</w:t>
                            </w:r>
                            <w:r w:rsidR="0040732E" w:rsidRPr="0037663D">
                              <w:t xml:space="preserve"> </w:t>
                            </w:r>
                            <w:r w:rsidR="0040732E" w:rsidRPr="0037663D">
                              <w:tab/>
                            </w:r>
                            <w:r w:rsidR="00221E2B">
                              <w:rPr>
                                <w:b w:val="0"/>
                              </w:rPr>
                              <w:t>02 December 2024</w:t>
                            </w:r>
                          </w:p>
                          <w:p w14:paraId="47A95CDA" w14:textId="0560EF8B" w:rsidR="0040732E" w:rsidRPr="0037663D" w:rsidRDefault="00722C84" w:rsidP="0034568A">
                            <w:pPr>
                              <w:pStyle w:val="Metadata"/>
                              <w:spacing w:line="240" w:lineRule="auto"/>
                              <w:ind w:left="142"/>
                            </w:pPr>
                            <w:r w:rsidRPr="0037663D">
                              <w:t>Assessment Date</w:t>
                            </w:r>
                            <w:r w:rsidR="0040732E" w:rsidRPr="0037663D">
                              <w:t xml:space="preserve"> </w:t>
                            </w:r>
                            <w:r w:rsidR="0040732E" w:rsidRPr="0037663D">
                              <w:tab/>
                            </w:r>
                            <w:r w:rsidR="00221E2B">
                              <w:rPr>
                                <w:b w:val="0"/>
                              </w:rPr>
                              <w:t>02 December 2027</w:t>
                            </w:r>
                          </w:p>
                          <w:p w14:paraId="475BFB60" w14:textId="77777777" w:rsidR="0040732E" w:rsidRPr="0010647D" w:rsidRDefault="00722C84" w:rsidP="0034568A">
                            <w:pPr>
                              <w:pStyle w:val="Metadata"/>
                              <w:spacing w:line="240" w:lineRule="auto"/>
                              <w:ind w:left="142"/>
                              <w:rPr>
                                <w:b w:val="0"/>
                              </w:rPr>
                            </w:pPr>
                            <w:r w:rsidRPr="0037663D">
                              <w:t>Approver</w:t>
                            </w:r>
                            <w:r w:rsidR="0040732E" w:rsidRPr="0037663D">
                              <w:tab/>
                            </w:r>
                            <w:r w:rsidR="0040732E" w:rsidRPr="0037663D">
                              <w:tab/>
                            </w:r>
                            <w:r w:rsidR="00DC4CBF" w:rsidRPr="0037663D">
                              <w:rPr>
                                <w:b w:val="0"/>
                              </w:rPr>
                              <w:t>Senate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BB1A9" id="_x0000_t202" coordsize="21600,21600" o:spt="202" path="m,l,21600r21600,l21600,xe">
                <v:stroke joinstyle="miter"/>
                <v:path gradientshapeok="t" o:connecttype="rect"/>
              </v:shapetype>
              <v:shape id="Text Box 2" o:spid="_x0000_s1026" type="#_x0000_t202" style="position:absolute;margin-left:.75pt;margin-top:117.25pt;width:252pt;height:13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" stroked="f">
                <o:lock v:ext="edit" aspectratio="t"/>
                <v:textbox>
                  <w:txbxContent>
                    <w:p w14:paraId="31C5779D" w14:textId="7D59DA80" w:rsidR="00705231" w:rsidRPr="0037663D" w:rsidRDefault="00705231" w:rsidP="0034568A">
                      <w:pPr>
                        <w:pStyle w:val="Metadata"/>
                        <w:spacing w:line="240" w:lineRule="auto"/>
                        <w:ind w:left="142"/>
                        <w:rPr>
                          <w:sz w:val="10"/>
                          <w:szCs w:val="10"/>
                        </w:rPr>
                      </w:pPr>
                    </w:p>
                    <w:p w14:paraId="5CA5AD7D" w14:textId="5CFEB07C" w:rsidR="0040732E" w:rsidRPr="0037663D" w:rsidRDefault="0040732E" w:rsidP="0034568A">
                      <w:pPr>
                        <w:pStyle w:val="Metadata"/>
                        <w:spacing w:line="240" w:lineRule="auto"/>
                        <w:ind w:left="142"/>
                      </w:pPr>
                      <w:r w:rsidRPr="0037663D">
                        <w:t>Policy</w:t>
                      </w:r>
                      <w:r w:rsidR="00722C84" w:rsidRPr="0037663D">
                        <w:t xml:space="preserve"> Number</w:t>
                      </w:r>
                      <w:r w:rsidRPr="0037663D">
                        <w:tab/>
                      </w:r>
                      <w:r w:rsidRPr="0037663D">
                        <w:rPr>
                          <w:b w:val="0"/>
                        </w:rPr>
                        <w:t>UP</w:t>
                      </w:r>
                      <w:r w:rsidR="00842A9F" w:rsidRPr="0037663D">
                        <w:rPr>
                          <w:b w:val="0"/>
                        </w:rPr>
                        <w:t>21</w:t>
                      </w:r>
                      <w:r w:rsidR="005E16DD" w:rsidRPr="0037663D">
                        <w:rPr>
                          <w:b w:val="0"/>
                        </w:rPr>
                        <w:t>/</w:t>
                      </w:r>
                      <w:r w:rsidR="00DC4CBF" w:rsidRPr="0037663D">
                        <w:rPr>
                          <w:b w:val="0"/>
                        </w:rPr>
                        <w:t>16</w:t>
                      </w:r>
                    </w:p>
                    <w:p w14:paraId="5AFD6F72" w14:textId="763D96E2" w:rsidR="0040732E" w:rsidRPr="0037663D" w:rsidRDefault="00722C84" w:rsidP="0034568A">
                      <w:pPr>
                        <w:pStyle w:val="Metadata"/>
                        <w:spacing w:line="240" w:lineRule="auto"/>
                        <w:ind w:left="142"/>
                      </w:pPr>
                      <w:r w:rsidRPr="0037663D">
                        <w:t>Approval Date</w:t>
                      </w:r>
                      <w:r w:rsidR="0040732E" w:rsidRPr="0037663D">
                        <w:t xml:space="preserve"> </w:t>
                      </w:r>
                      <w:r w:rsidR="0040732E" w:rsidRPr="0037663D">
                        <w:tab/>
                      </w:r>
                      <w:r w:rsidR="00221E2B">
                        <w:rPr>
                          <w:b w:val="0"/>
                        </w:rPr>
                        <w:t>02 December 2024</w:t>
                      </w:r>
                    </w:p>
                    <w:p w14:paraId="47A95CDA" w14:textId="0560EF8B" w:rsidR="0040732E" w:rsidRPr="0037663D" w:rsidRDefault="00722C84" w:rsidP="0034568A">
                      <w:pPr>
                        <w:pStyle w:val="Metadata"/>
                        <w:spacing w:line="240" w:lineRule="auto"/>
                        <w:ind w:left="142"/>
                      </w:pPr>
                      <w:r w:rsidRPr="0037663D">
                        <w:t>Assessment Date</w:t>
                      </w:r>
                      <w:r w:rsidR="0040732E" w:rsidRPr="0037663D">
                        <w:t xml:space="preserve"> </w:t>
                      </w:r>
                      <w:r w:rsidR="0040732E" w:rsidRPr="0037663D">
                        <w:tab/>
                      </w:r>
                      <w:r w:rsidR="00221E2B">
                        <w:rPr>
                          <w:b w:val="0"/>
                        </w:rPr>
                        <w:t>02 December 2027</w:t>
                      </w:r>
                    </w:p>
                    <w:p w14:paraId="475BFB60" w14:textId="77777777" w:rsidR="0040732E" w:rsidRPr="0010647D" w:rsidRDefault="00722C84" w:rsidP="0034568A">
                      <w:pPr>
                        <w:pStyle w:val="Metadata"/>
                        <w:spacing w:line="240" w:lineRule="auto"/>
                        <w:ind w:left="142"/>
                        <w:rPr>
                          <w:b w:val="0"/>
                        </w:rPr>
                      </w:pPr>
                      <w:r w:rsidRPr="0037663D">
                        <w:t>Approver</w:t>
                      </w:r>
                      <w:r w:rsidR="0040732E" w:rsidRPr="0037663D">
                        <w:tab/>
                      </w:r>
                      <w:r w:rsidR="0040732E" w:rsidRPr="0037663D">
                        <w:tab/>
                      </w:r>
                      <w:r w:rsidR="00DC4CBF" w:rsidRPr="0037663D">
                        <w:rPr>
                          <w:b w:val="0"/>
                        </w:rPr>
                        <w:t>Senate</w:t>
                      </w:r>
                    </w:p>
                  </w:txbxContent>
                </v:textbox>
                <w10:wrap type="square"/>
                <w10:anchorlock/>
              </v:shape>
            </w:pict>
          </mc:Fallback>
        </mc:AlternateContent>
      </w:r>
      <w:r>
        <w:rPr>
          <w:noProof/>
        </w:rPr>
        <mc:AlternateContent>
          <mc:Choice Requires="wps">
            <w:drawing>
              <wp:anchor distT="45720" distB="45720" distL="114300" distR="114300" simplePos="0" relativeHeight="251658241" behindDoc="0" locked="1" layoutInCell="1" allowOverlap="1" wp14:anchorId="431B6F72" wp14:editId="5338282D">
                <wp:simplePos x="0" y="0"/>
                <wp:positionH relativeFrom="column">
                  <wp:posOffset>3457575</wp:posOffset>
                </wp:positionH>
                <wp:positionV relativeFrom="paragraph">
                  <wp:posOffset>1489075</wp:posOffset>
                </wp:positionV>
                <wp:extent cx="3203575" cy="1710055"/>
                <wp:effectExtent l="0" t="0" r="0" b="4445"/>
                <wp:wrapSquare wrapText="bothSides"/>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3575" cy="1710055"/>
                        </a:xfrm>
                        <a:prstGeom prst="rect">
                          <a:avLst/>
                        </a:prstGeom>
                        <a:solidFill>
                          <a:srgbClr val="FFFFFF"/>
                        </a:solidFill>
                        <a:ln w="9525">
                          <a:noFill/>
                          <a:miter lim="800000"/>
                          <a:headEnd/>
                          <a:tailEnd/>
                        </a:ln>
                      </wps:spPr>
                      <wps:txbx>
                        <w:txbxContent>
                          <w:p w14:paraId="32A486DA" w14:textId="77777777" w:rsidR="0034568A" w:rsidRPr="0034568A" w:rsidRDefault="0034568A" w:rsidP="0040732E">
                            <w:pPr>
                              <w:rPr>
                                <w:b/>
                                <w:color w:val="003087"/>
                                <w:sz w:val="10"/>
                              </w:rPr>
                            </w:pPr>
                          </w:p>
                          <w:p w14:paraId="6CD634C1" w14:textId="77777777" w:rsidR="0040732E" w:rsidRPr="0010647D" w:rsidRDefault="00722C84" w:rsidP="0034568A">
                            <w:pPr>
                              <w:spacing w:line="240" w:lineRule="auto"/>
                              <w:ind w:left="142"/>
                              <w:rPr>
                                <w:color w:val="003087"/>
                              </w:rPr>
                            </w:pPr>
                            <w:r w:rsidRPr="0010647D">
                              <w:rPr>
                                <w:b/>
                                <w:color w:val="003087"/>
                              </w:rPr>
                              <w:t>Steward</w:t>
                            </w:r>
                            <w:r w:rsidR="0040732E" w:rsidRPr="0010647D">
                              <w:rPr>
                                <w:color w:val="003087"/>
                              </w:rPr>
                              <w:tab/>
                            </w:r>
                            <w:r w:rsidR="0040732E" w:rsidRPr="0010647D">
                              <w:rPr>
                                <w:color w:val="003087"/>
                              </w:rPr>
                              <w:tab/>
                            </w:r>
                            <w:r w:rsidR="00842A9F">
                              <w:rPr>
                                <w:color w:val="003087"/>
                              </w:rPr>
                              <w:t>Vice-Chancellor</w:t>
                            </w:r>
                          </w:p>
                          <w:p w14:paraId="70B2CEF7" w14:textId="7945E03D" w:rsidR="0040732E" w:rsidRPr="0010647D"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5043C1">
                              <w:rPr>
                                <w:color w:val="003087"/>
                              </w:rPr>
                              <w:t>Chief Risk Officer</w:t>
                            </w:r>
                          </w:p>
                          <w:p w14:paraId="16BAC78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C3525A">
                              <w:rPr>
                                <w:color w:val="003087"/>
                              </w:rPr>
                              <w:t>F21/2</w:t>
                            </w:r>
                            <w:r w:rsidR="00DC4CBF">
                              <w:rPr>
                                <w:color w:val="003087"/>
                              </w:rPr>
                              <w:t>626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B6F72" id="_x0000_s1027" type="#_x0000_t202" style="position:absolute;margin-left:272.25pt;margin-top:117.25pt;width:252.25pt;height:134.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" stroked="f">
                <o:lock v:ext="edit" aspectratio="t"/>
                <v:textbox>
                  <w:txbxContent>
                    <w:p w14:paraId="32A486DA" w14:textId="77777777" w:rsidR="0034568A" w:rsidRPr="0034568A" w:rsidRDefault="0034568A" w:rsidP="0040732E">
                      <w:pPr>
                        <w:rPr>
                          <w:b/>
                          <w:color w:val="003087"/>
                          <w:sz w:val="10"/>
                        </w:rPr>
                      </w:pPr>
                    </w:p>
                    <w:p w14:paraId="6CD634C1" w14:textId="77777777" w:rsidR="0040732E" w:rsidRPr="0010647D" w:rsidRDefault="00722C84" w:rsidP="0034568A">
                      <w:pPr>
                        <w:spacing w:line="240" w:lineRule="auto"/>
                        <w:ind w:left="142"/>
                        <w:rPr>
                          <w:color w:val="003087"/>
                        </w:rPr>
                      </w:pPr>
                      <w:r w:rsidRPr="0010647D">
                        <w:rPr>
                          <w:b/>
                          <w:color w:val="003087"/>
                        </w:rPr>
                        <w:t>Steward</w:t>
                      </w:r>
                      <w:r w:rsidR="0040732E" w:rsidRPr="0010647D">
                        <w:rPr>
                          <w:color w:val="003087"/>
                        </w:rPr>
                        <w:tab/>
                      </w:r>
                      <w:r w:rsidR="0040732E" w:rsidRPr="0010647D">
                        <w:rPr>
                          <w:color w:val="003087"/>
                        </w:rPr>
                        <w:tab/>
                      </w:r>
                      <w:r w:rsidR="00842A9F">
                        <w:rPr>
                          <w:color w:val="003087"/>
                        </w:rPr>
                        <w:t>Vice-Chancellor</w:t>
                      </w:r>
                    </w:p>
                    <w:p w14:paraId="70B2CEF7" w14:textId="7945E03D" w:rsidR="0040732E" w:rsidRPr="0010647D"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5043C1">
                        <w:rPr>
                          <w:color w:val="003087"/>
                        </w:rPr>
                        <w:t>Chief Risk Officer</w:t>
                      </w:r>
                    </w:p>
                    <w:p w14:paraId="16BAC78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C3525A">
                        <w:rPr>
                          <w:color w:val="003087"/>
                        </w:rPr>
                        <w:t>F21/2</w:t>
                      </w:r>
                      <w:r w:rsidR="00DC4CBF">
                        <w:rPr>
                          <w:color w:val="003087"/>
                        </w:rPr>
                        <w:t>626</w:t>
                      </w:r>
                    </w:p>
                  </w:txbxContent>
                </v:textbox>
                <w10:wrap type="square"/>
                <w10:anchorlock/>
              </v:shape>
            </w:pict>
          </mc:Fallback>
        </mc:AlternateContent>
      </w:r>
    </w:p>
    <w:p w14:paraId="08063306" w14:textId="77777777" w:rsidR="000D1A6D" w:rsidRDefault="000D1A6D" w:rsidP="00760538">
      <w:bookmarkStart w:id="0" w:name="_Toc47958420"/>
    </w:p>
    <w:p w14:paraId="338953D5" w14:textId="77777777" w:rsidR="000D1A6D" w:rsidRDefault="000D1A6D" w:rsidP="00760538"/>
    <w:p w14:paraId="4FDA7EE5" w14:textId="77777777" w:rsidR="000D1A6D" w:rsidRDefault="000D1A6D" w:rsidP="00760538"/>
    <w:p w14:paraId="4D34E083" w14:textId="77777777" w:rsidR="00760538" w:rsidRDefault="00760538" w:rsidP="00760538"/>
    <w:p w14:paraId="35AC70E3" w14:textId="1F6A5468" w:rsidR="0010647D" w:rsidRPr="00760538" w:rsidRDefault="0010647D" w:rsidP="0037663D">
      <w:pPr>
        <w:pStyle w:val="Heading1"/>
      </w:pPr>
      <w:bookmarkStart w:id="1" w:name="_Toc178844999"/>
      <w:r w:rsidRPr="00760538">
        <w:t>Purpose</w:t>
      </w:r>
      <w:bookmarkEnd w:id="0"/>
      <w:bookmarkEnd w:id="1"/>
    </w:p>
    <w:p w14:paraId="337389A9" w14:textId="77777777" w:rsidR="00842A9F" w:rsidRPr="00F4427E" w:rsidRDefault="00842A9F" w:rsidP="0037663D">
      <w:pPr>
        <w:pStyle w:val="Heading4"/>
      </w:pPr>
      <w:r w:rsidRPr="00F4427E">
        <w:t xml:space="preserve">The </w:t>
      </w:r>
      <w:r w:rsidRPr="00234CB9">
        <w:t>purpose</w:t>
      </w:r>
      <w:r w:rsidRPr="00F4427E">
        <w:t xml:space="preserve"> of this </w:t>
      </w:r>
      <w:r w:rsidRPr="00310B43">
        <w:rPr>
          <w:b/>
        </w:rPr>
        <w:t>Policy</w:t>
      </w:r>
      <w:r w:rsidRPr="00F4427E">
        <w:t xml:space="preserve"> is to —</w:t>
      </w:r>
    </w:p>
    <w:p w14:paraId="7274E006" w14:textId="77777777" w:rsidR="00234CB9" w:rsidRDefault="00234CB9" w:rsidP="00180F9C">
      <w:pPr>
        <w:pStyle w:val="Heading5"/>
      </w:pPr>
      <w:r w:rsidRPr="00234CB9">
        <w:t>establish</w:t>
      </w:r>
      <w:r>
        <w:t xml:space="preserve"> the </w:t>
      </w:r>
      <w:r w:rsidRPr="00C5311D">
        <w:rPr>
          <w:b/>
          <w:bCs/>
        </w:rPr>
        <w:t>Risk Management Framework</w:t>
      </w:r>
      <w:r>
        <w:t>; and</w:t>
      </w:r>
    </w:p>
    <w:p w14:paraId="08C338E6" w14:textId="77777777" w:rsidR="00842A9F" w:rsidRPr="005E16DD" w:rsidRDefault="00234CB9" w:rsidP="00180F9C">
      <w:pPr>
        <w:pStyle w:val="Heading5"/>
      </w:pPr>
      <w:r>
        <w:t xml:space="preserve">express the </w:t>
      </w:r>
      <w:r w:rsidRPr="00A63BE9">
        <w:rPr>
          <w:b/>
        </w:rPr>
        <w:t>Risk</w:t>
      </w:r>
      <w:r>
        <w:t xml:space="preserve"> management practices of the </w:t>
      </w:r>
      <w:r w:rsidRPr="00135D10">
        <w:rPr>
          <w:b/>
        </w:rPr>
        <w:t>University</w:t>
      </w:r>
      <w:r>
        <w:t>.</w:t>
      </w:r>
    </w:p>
    <w:p w14:paraId="446A86A1" w14:textId="77777777" w:rsidR="00842A9F" w:rsidRPr="00452ED6" w:rsidRDefault="00842A9F" w:rsidP="00842A9F"/>
    <w:p w14:paraId="45BB955F" w14:textId="77777777" w:rsidR="00842A9F" w:rsidRPr="00F4427E" w:rsidRDefault="00842A9F" w:rsidP="0037663D">
      <w:pPr>
        <w:pStyle w:val="ClauseA"/>
      </w:pPr>
      <w:r w:rsidRPr="00F4427E">
        <w:t>In this Policy —</w:t>
      </w:r>
    </w:p>
    <w:p w14:paraId="485E30E8" w14:textId="77777777" w:rsidR="00842A9F" w:rsidRPr="00452ED6" w:rsidRDefault="00842A9F" w:rsidP="00842A9F">
      <w:pPr>
        <w:rPr>
          <w:lang w:eastAsia="en-AU"/>
        </w:rPr>
      </w:pPr>
    </w:p>
    <w:p w14:paraId="193ED91E" w14:textId="59EABED9" w:rsidR="0037663D" w:rsidRDefault="00842A9F">
      <w:pPr>
        <w:pStyle w:val="TOC1"/>
        <w:rPr>
          <w:rFonts w:asciiTheme="minorHAnsi" w:eastAsiaTheme="minorEastAsia" w:hAnsiTheme="minorHAnsi" w:cstheme="minorBidi"/>
          <w:noProof/>
          <w:color w:val="auto"/>
          <w:kern w:val="2"/>
          <w:lang w:eastAsia="en-AU"/>
          <w14:ligatures w14:val="standardContextual"/>
        </w:rPr>
      </w:pPr>
      <w:r w:rsidRPr="003922AB">
        <w:fldChar w:fldCharType="begin"/>
      </w:r>
      <w:r w:rsidRPr="003922AB">
        <w:instrText xml:space="preserve"> TOC \o "1-2" \h \z \u </w:instrText>
      </w:r>
      <w:r w:rsidRPr="003922AB">
        <w:fldChar w:fldCharType="separate"/>
      </w:r>
      <w:hyperlink w:anchor="_Toc178844999" w:history="1">
        <w:r w:rsidR="0037663D" w:rsidRPr="00964F72">
          <w:rPr>
            <w:rStyle w:val="Hyperlink"/>
            <w:noProof/>
          </w:rPr>
          <w:t>1</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Purpose</w:t>
        </w:r>
        <w:r w:rsidR="0037663D">
          <w:rPr>
            <w:noProof/>
            <w:webHidden/>
          </w:rPr>
          <w:tab/>
        </w:r>
        <w:r w:rsidR="0037663D">
          <w:rPr>
            <w:noProof/>
            <w:webHidden/>
          </w:rPr>
          <w:fldChar w:fldCharType="begin"/>
        </w:r>
        <w:r w:rsidR="0037663D">
          <w:rPr>
            <w:noProof/>
            <w:webHidden/>
          </w:rPr>
          <w:instrText xml:space="preserve"> PAGEREF _Toc178844999 \h </w:instrText>
        </w:r>
        <w:r w:rsidR="0037663D">
          <w:rPr>
            <w:noProof/>
            <w:webHidden/>
          </w:rPr>
        </w:r>
        <w:r w:rsidR="0037663D">
          <w:rPr>
            <w:noProof/>
            <w:webHidden/>
          </w:rPr>
          <w:fldChar w:fldCharType="separate"/>
        </w:r>
        <w:r w:rsidR="00221E2B">
          <w:rPr>
            <w:noProof/>
            <w:webHidden/>
          </w:rPr>
          <w:t>1</w:t>
        </w:r>
        <w:r w:rsidR="0037663D">
          <w:rPr>
            <w:noProof/>
            <w:webHidden/>
          </w:rPr>
          <w:fldChar w:fldCharType="end"/>
        </w:r>
      </w:hyperlink>
    </w:p>
    <w:p w14:paraId="1B1C00EF" w14:textId="32232CF4"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0" w:history="1">
        <w:r w:rsidR="0037663D" w:rsidRPr="00964F72">
          <w:rPr>
            <w:rStyle w:val="Hyperlink"/>
            <w:noProof/>
          </w:rPr>
          <w:t>2</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Scope</w:t>
        </w:r>
        <w:r w:rsidR="0037663D">
          <w:rPr>
            <w:noProof/>
            <w:webHidden/>
          </w:rPr>
          <w:tab/>
        </w:r>
        <w:r w:rsidR="0037663D">
          <w:rPr>
            <w:noProof/>
            <w:webHidden/>
          </w:rPr>
          <w:fldChar w:fldCharType="begin"/>
        </w:r>
        <w:r w:rsidR="0037663D">
          <w:rPr>
            <w:noProof/>
            <w:webHidden/>
          </w:rPr>
          <w:instrText xml:space="preserve"> PAGEREF _Toc178845000 \h </w:instrText>
        </w:r>
        <w:r w:rsidR="0037663D">
          <w:rPr>
            <w:noProof/>
            <w:webHidden/>
          </w:rPr>
        </w:r>
        <w:r w:rsidR="0037663D">
          <w:rPr>
            <w:noProof/>
            <w:webHidden/>
          </w:rPr>
          <w:fldChar w:fldCharType="separate"/>
        </w:r>
        <w:r w:rsidR="00221E2B">
          <w:rPr>
            <w:noProof/>
            <w:webHidden/>
          </w:rPr>
          <w:t>2</w:t>
        </w:r>
        <w:r w:rsidR="0037663D">
          <w:rPr>
            <w:noProof/>
            <w:webHidden/>
          </w:rPr>
          <w:fldChar w:fldCharType="end"/>
        </w:r>
      </w:hyperlink>
    </w:p>
    <w:p w14:paraId="1C5C8AAC" w14:textId="7D54B398" w:rsidR="0037663D" w:rsidRDefault="00AC001E">
      <w:pPr>
        <w:pStyle w:val="TOC2"/>
        <w:rPr>
          <w:rFonts w:asciiTheme="minorHAnsi" w:eastAsiaTheme="minorEastAsia" w:hAnsiTheme="minorHAnsi" w:cstheme="minorBidi"/>
          <w:noProof/>
          <w:color w:val="auto"/>
          <w:kern w:val="2"/>
          <w:lang w:eastAsia="en-AU"/>
          <w14:ligatures w14:val="standardContextual"/>
        </w:rPr>
      </w:pPr>
      <w:hyperlink w:anchor="_Toc178845001" w:history="1">
        <w:r w:rsidR="0037663D" w:rsidRPr="00964F72">
          <w:rPr>
            <w:rStyle w:val="Hyperlink"/>
            <w:noProof/>
          </w:rPr>
          <w:t>2.1</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Institutional Scope</w:t>
        </w:r>
        <w:r w:rsidR="0037663D">
          <w:rPr>
            <w:noProof/>
            <w:webHidden/>
          </w:rPr>
          <w:tab/>
        </w:r>
        <w:r w:rsidR="0037663D">
          <w:rPr>
            <w:noProof/>
            <w:webHidden/>
          </w:rPr>
          <w:fldChar w:fldCharType="begin"/>
        </w:r>
        <w:r w:rsidR="0037663D">
          <w:rPr>
            <w:noProof/>
            <w:webHidden/>
          </w:rPr>
          <w:instrText xml:space="preserve"> PAGEREF _Toc178845001 \h </w:instrText>
        </w:r>
        <w:r w:rsidR="0037663D">
          <w:rPr>
            <w:noProof/>
            <w:webHidden/>
          </w:rPr>
        </w:r>
        <w:r w:rsidR="0037663D">
          <w:rPr>
            <w:noProof/>
            <w:webHidden/>
          </w:rPr>
          <w:fldChar w:fldCharType="separate"/>
        </w:r>
        <w:r w:rsidR="00221E2B">
          <w:rPr>
            <w:noProof/>
            <w:webHidden/>
          </w:rPr>
          <w:t>2</w:t>
        </w:r>
        <w:r w:rsidR="0037663D">
          <w:rPr>
            <w:noProof/>
            <w:webHidden/>
          </w:rPr>
          <w:fldChar w:fldCharType="end"/>
        </w:r>
      </w:hyperlink>
    </w:p>
    <w:p w14:paraId="2540A4A7" w14:textId="6C4D6819" w:rsidR="0037663D" w:rsidRDefault="00AC001E">
      <w:pPr>
        <w:pStyle w:val="TOC2"/>
        <w:rPr>
          <w:rFonts w:asciiTheme="minorHAnsi" w:eastAsiaTheme="minorEastAsia" w:hAnsiTheme="minorHAnsi" w:cstheme="minorBidi"/>
          <w:noProof/>
          <w:color w:val="auto"/>
          <w:kern w:val="2"/>
          <w:lang w:eastAsia="en-AU"/>
          <w14:ligatures w14:val="standardContextual"/>
        </w:rPr>
      </w:pPr>
      <w:hyperlink w:anchor="_Toc178845002" w:history="1">
        <w:r w:rsidR="0037663D" w:rsidRPr="00964F72">
          <w:rPr>
            <w:rStyle w:val="Hyperlink"/>
            <w:noProof/>
          </w:rPr>
          <w:t>2.2</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Individual Scope</w:t>
        </w:r>
        <w:r w:rsidR="0037663D">
          <w:rPr>
            <w:noProof/>
            <w:webHidden/>
          </w:rPr>
          <w:tab/>
        </w:r>
        <w:r w:rsidR="0037663D">
          <w:rPr>
            <w:noProof/>
            <w:webHidden/>
          </w:rPr>
          <w:fldChar w:fldCharType="begin"/>
        </w:r>
        <w:r w:rsidR="0037663D">
          <w:rPr>
            <w:noProof/>
            <w:webHidden/>
          </w:rPr>
          <w:instrText xml:space="preserve"> PAGEREF _Toc178845002 \h </w:instrText>
        </w:r>
        <w:r w:rsidR="0037663D">
          <w:rPr>
            <w:noProof/>
            <w:webHidden/>
          </w:rPr>
        </w:r>
        <w:r w:rsidR="0037663D">
          <w:rPr>
            <w:noProof/>
            <w:webHidden/>
          </w:rPr>
          <w:fldChar w:fldCharType="separate"/>
        </w:r>
        <w:r w:rsidR="00221E2B">
          <w:rPr>
            <w:noProof/>
            <w:webHidden/>
          </w:rPr>
          <w:t>2</w:t>
        </w:r>
        <w:r w:rsidR="0037663D">
          <w:rPr>
            <w:noProof/>
            <w:webHidden/>
          </w:rPr>
          <w:fldChar w:fldCharType="end"/>
        </w:r>
      </w:hyperlink>
    </w:p>
    <w:p w14:paraId="3BF96F0A" w14:textId="7C11D736"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3" w:history="1">
        <w:r w:rsidR="0037663D" w:rsidRPr="00964F72">
          <w:rPr>
            <w:rStyle w:val="Hyperlink"/>
            <w:noProof/>
          </w:rPr>
          <w:t>3</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Management Framework</w:t>
        </w:r>
        <w:r w:rsidR="0037663D">
          <w:rPr>
            <w:noProof/>
            <w:webHidden/>
          </w:rPr>
          <w:tab/>
        </w:r>
        <w:r w:rsidR="0037663D">
          <w:rPr>
            <w:noProof/>
            <w:webHidden/>
          </w:rPr>
          <w:fldChar w:fldCharType="begin"/>
        </w:r>
        <w:r w:rsidR="0037663D">
          <w:rPr>
            <w:noProof/>
            <w:webHidden/>
          </w:rPr>
          <w:instrText xml:space="preserve"> PAGEREF _Toc178845003 \h </w:instrText>
        </w:r>
        <w:r w:rsidR="0037663D">
          <w:rPr>
            <w:noProof/>
            <w:webHidden/>
          </w:rPr>
        </w:r>
        <w:r w:rsidR="0037663D">
          <w:rPr>
            <w:noProof/>
            <w:webHidden/>
          </w:rPr>
          <w:fldChar w:fldCharType="separate"/>
        </w:r>
        <w:r w:rsidR="00221E2B">
          <w:rPr>
            <w:noProof/>
            <w:webHidden/>
          </w:rPr>
          <w:t>2</w:t>
        </w:r>
        <w:r w:rsidR="0037663D">
          <w:rPr>
            <w:noProof/>
            <w:webHidden/>
          </w:rPr>
          <w:fldChar w:fldCharType="end"/>
        </w:r>
      </w:hyperlink>
    </w:p>
    <w:p w14:paraId="6B259A56" w14:textId="5C02A020"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4" w:history="1">
        <w:r w:rsidR="0037663D" w:rsidRPr="00964F72">
          <w:rPr>
            <w:rStyle w:val="Hyperlink"/>
            <w:noProof/>
          </w:rPr>
          <w:t>4</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w:t>
        </w:r>
        <w:r w:rsidR="0037663D">
          <w:rPr>
            <w:noProof/>
            <w:webHidden/>
          </w:rPr>
          <w:tab/>
        </w:r>
        <w:r w:rsidR="0037663D">
          <w:rPr>
            <w:noProof/>
            <w:webHidden/>
          </w:rPr>
          <w:fldChar w:fldCharType="begin"/>
        </w:r>
        <w:r w:rsidR="0037663D">
          <w:rPr>
            <w:noProof/>
            <w:webHidden/>
          </w:rPr>
          <w:instrText xml:space="preserve"> PAGEREF _Toc178845004 \h </w:instrText>
        </w:r>
        <w:r w:rsidR="0037663D">
          <w:rPr>
            <w:noProof/>
            <w:webHidden/>
          </w:rPr>
        </w:r>
        <w:r w:rsidR="0037663D">
          <w:rPr>
            <w:noProof/>
            <w:webHidden/>
          </w:rPr>
          <w:fldChar w:fldCharType="separate"/>
        </w:r>
        <w:r w:rsidR="00221E2B">
          <w:rPr>
            <w:noProof/>
            <w:webHidden/>
          </w:rPr>
          <w:t>3</w:t>
        </w:r>
        <w:r w:rsidR="0037663D">
          <w:rPr>
            <w:noProof/>
            <w:webHidden/>
          </w:rPr>
          <w:fldChar w:fldCharType="end"/>
        </w:r>
      </w:hyperlink>
    </w:p>
    <w:p w14:paraId="1C9ECEEE" w14:textId="48DBEE0A"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5" w:history="1">
        <w:r w:rsidR="0037663D" w:rsidRPr="00964F72">
          <w:rPr>
            <w:rStyle w:val="Hyperlink"/>
            <w:noProof/>
          </w:rPr>
          <w:t>5</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Type</w:t>
        </w:r>
        <w:r w:rsidR="0037663D">
          <w:rPr>
            <w:noProof/>
            <w:webHidden/>
          </w:rPr>
          <w:tab/>
        </w:r>
        <w:r w:rsidR="0037663D">
          <w:rPr>
            <w:noProof/>
            <w:webHidden/>
          </w:rPr>
          <w:fldChar w:fldCharType="begin"/>
        </w:r>
        <w:r w:rsidR="0037663D">
          <w:rPr>
            <w:noProof/>
            <w:webHidden/>
          </w:rPr>
          <w:instrText xml:space="preserve"> PAGEREF _Toc178845005 \h </w:instrText>
        </w:r>
        <w:r w:rsidR="0037663D">
          <w:rPr>
            <w:noProof/>
            <w:webHidden/>
          </w:rPr>
        </w:r>
        <w:r w:rsidR="0037663D">
          <w:rPr>
            <w:noProof/>
            <w:webHidden/>
          </w:rPr>
          <w:fldChar w:fldCharType="separate"/>
        </w:r>
        <w:r w:rsidR="00221E2B">
          <w:rPr>
            <w:noProof/>
            <w:webHidden/>
          </w:rPr>
          <w:t>3</w:t>
        </w:r>
        <w:r w:rsidR="0037663D">
          <w:rPr>
            <w:noProof/>
            <w:webHidden/>
          </w:rPr>
          <w:fldChar w:fldCharType="end"/>
        </w:r>
      </w:hyperlink>
    </w:p>
    <w:p w14:paraId="13753357" w14:textId="23DC5F91"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6" w:history="1">
        <w:r w:rsidR="0037663D" w:rsidRPr="00964F72">
          <w:rPr>
            <w:rStyle w:val="Hyperlink"/>
            <w:noProof/>
          </w:rPr>
          <w:t>6</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Appetite</w:t>
        </w:r>
        <w:r w:rsidR="0037663D">
          <w:rPr>
            <w:noProof/>
            <w:webHidden/>
          </w:rPr>
          <w:tab/>
        </w:r>
        <w:r w:rsidR="0037663D">
          <w:rPr>
            <w:noProof/>
            <w:webHidden/>
          </w:rPr>
          <w:fldChar w:fldCharType="begin"/>
        </w:r>
        <w:r w:rsidR="0037663D">
          <w:rPr>
            <w:noProof/>
            <w:webHidden/>
          </w:rPr>
          <w:instrText xml:space="preserve"> PAGEREF _Toc178845006 \h </w:instrText>
        </w:r>
        <w:r w:rsidR="0037663D">
          <w:rPr>
            <w:noProof/>
            <w:webHidden/>
          </w:rPr>
        </w:r>
        <w:r w:rsidR="0037663D">
          <w:rPr>
            <w:noProof/>
            <w:webHidden/>
          </w:rPr>
          <w:fldChar w:fldCharType="separate"/>
        </w:r>
        <w:r w:rsidR="00221E2B">
          <w:rPr>
            <w:noProof/>
            <w:webHidden/>
          </w:rPr>
          <w:t>3</w:t>
        </w:r>
        <w:r w:rsidR="0037663D">
          <w:rPr>
            <w:noProof/>
            <w:webHidden/>
          </w:rPr>
          <w:fldChar w:fldCharType="end"/>
        </w:r>
      </w:hyperlink>
    </w:p>
    <w:p w14:paraId="123F50E6" w14:textId="5AC32BCB"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7" w:history="1">
        <w:r w:rsidR="0037663D" w:rsidRPr="00964F72">
          <w:rPr>
            <w:rStyle w:val="Hyperlink"/>
            <w:noProof/>
          </w:rPr>
          <w:t>7</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Owners</w:t>
        </w:r>
        <w:r w:rsidR="0037663D">
          <w:rPr>
            <w:noProof/>
            <w:webHidden/>
          </w:rPr>
          <w:tab/>
        </w:r>
        <w:r w:rsidR="0037663D">
          <w:rPr>
            <w:noProof/>
            <w:webHidden/>
          </w:rPr>
          <w:fldChar w:fldCharType="begin"/>
        </w:r>
        <w:r w:rsidR="0037663D">
          <w:rPr>
            <w:noProof/>
            <w:webHidden/>
          </w:rPr>
          <w:instrText xml:space="preserve"> PAGEREF _Toc178845007 \h </w:instrText>
        </w:r>
        <w:r w:rsidR="0037663D">
          <w:rPr>
            <w:noProof/>
            <w:webHidden/>
          </w:rPr>
        </w:r>
        <w:r w:rsidR="0037663D">
          <w:rPr>
            <w:noProof/>
            <w:webHidden/>
          </w:rPr>
          <w:fldChar w:fldCharType="separate"/>
        </w:r>
        <w:r w:rsidR="00221E2B">
          <w:rPr>
            <w:noProof/>
            <w:webHidden/>
          </w:rPr>
          <w:t>4</w:t>
        </w:r>
        <w:r w:rsidR="0037663D">
          <w:rPr>
            <w:noProof/>
            <w:webHidden/>
          </w:rPr>
          <w:fldChar w:fldCharType="end"/>
        </w:r>
      </w:hyperlink>
    </w:p>
    <w:p w14:paraId="220F3530" w14:textId="0FBD19B0"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8" w:history="1">
        <w:r w:rsidR="0037663D" w:rsidRPr="00964F72">
          <w:rPr>
            <w:rStyle w:val="Hyperlink"/>
            <w:noProof/>
          </w:rPr>
          <w:t>8</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Assessment</w:t>
        </w:r>
        <w:r w:rsidR="0037663D">
          <w:rPr>
            <w:noProof/>
            <w:webHidden/>
          </w:rPr>
          <w:tab/>
        </w:r>
        <w:r w:rsidR="0037663D">
          <w:rPr>
            <w:noProof/>
            <w:webHidden/>
          </w:rPr>
          <w:fldChar w:fldCharType="begin"/>
        </w:r>
        <w:r w:rsidR="0037663D">
          <w:rPr>
            <w:noProof/>
            <w:webHidden/>
          </w:rPr>
          <w:instrText xml:space="preserve"> PAGEREF _Toc178845008 \h </w:instrText>
        </w:r>
        <w:r w:rsidR="0037663D">
          <w:rPr>
            <w:noProof/>
            <w:webHidden/>
          </w:rPr>
        </w:r>
        <w:r w:rsidR="0037663D">
          <w:rPr>
            <w:noProof/>
            <w:webHidden/>
          </w:rPr>
          <w:fldChar w:fldCharType="separate"/>
        </w:r>
        <w:r w:rsidR="00221E2B">
          <w:rPr>
            <w:noProof/>
            <w:webHidden/>
          </w:rPr>
          <w:t>4</w:t>
        </w:r>
        <w:r w:rsidR="0037663D">
          <w:rPr>
            <w:noProof/>
            <w:webHidden/>
          </w:rPr>
          <w:fldChar w:fldCharType="end"/>
        </w:r>
      </w:hyperlink>
    </w:p>
    <w:p w14:paraId="3C783DAB" w14:textId="34A3F2CC"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09" w:history="1">
        <w:r w:rsidR="0037663D" w:rsidRPr="00964F72">
          <w:rPr>
            <w:rStyle w:val="Hyperlink"/>
            <w:noProof/>
          </w:rPr>
          <w:t>9</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Registers</w:t>
        </w:r>
        <w:r w:rsidR="0037663D">
          <w:rPr>
            <w:noProof/>
            <w:webHidden/>
          </w:rPr>
          <w:tab/>
        </w:r>
        <w:r w:rsidR="0037663D">
          <w:rPr>
            <w:noProof/>
            <w:webHidden/>
          </w:rPr>
          <w:fldChar w:fldCharType="begin"/>
        </w:r>
        <w:r w:rsidR="0037663D">
          <w:rPr>
            <w:noProof/>
            <w:webHidden/>
          </w:rPr>
          <w:instrText xml:space="preserve"> PAGEREF _Toc178845009 \h </w:instrText>
        </w:r>
        <w:r w:rsidR="0037663D">
          <w:rPr>
            <w:noProof/>
            <w:webHidden/>
          </w:rPr>
        </w:r>
        <w:r w:rsidR="0037663D">
          <w:rPr>
            <w:noProof/>
            <w:webHidden/>
          </w:rPr>
          <w:fldChar w:fldCharType="separate"/>
        </w:r>
        <w:r w:rsidR="00221E2B">
          <w:rPr>
            <w:noProof/>
            <w:webHidden/>
          </w:rPr>
          <w:t>4</w:t>
        </w:r>
        <w:r w:rsidR="0037663D">
          <w:rPr>
            <w:noProof/>
            <w:webHidden/>
          </w:rPr>
          <w:fldChar w:fldCharType="end"/>
        </w:r>
      </w:hyperlink>
    </w:p>
    <w:p w14:paraId="6BE28AAE" w14:textId="079F0555"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10" w:history="1">
        <w:r w:rsidR="0037663D" w:rsidRPr="00964F72">
          <w:rPr>
            <w:rStyle w:val="Hyperlink"/>
            <w:noProof/>
          </w:rPr>
          <w:t>10</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Reporting</w:t>
        </w:r>
        <w:r w:rsidR="0037663D">
          <w:rPr>
            <w:noProof/>
            <w:webHidden/>
          </w:rPr>
          <w:tab/>
        </w:r>
        <w:r w:rsidR="0037663D">
          <w:rPr>
            <w:noProof/>
            <w:webHidden/>
          </w:rPr>
          <w:fldChar w:fldCharType="begin"/>
        </w:r>
        <w:r w:rsidR="0037663D">
          <w:rPr>
            <w:noProof/>
            <w:webHidden/>
          </w:rPr>
          <w:instrText xml:space="preserve"> PAGEREF _Toc178845010 \h </w:instrText>
        </w:r>
        <w:r w:rsidR="0037663D">
          <w:rPr>
            <w:noProof/>
            <w:webHidden/>
          </w:rPr>
        </w:r>
        <w:r w:rsidR="0037663D">
          <w:rPr>
            <w:noProof/>
            <w:webHidden/>
          </w:rPr>
          <w:fldChar w:fldCharType="separate"/>
        </w:r>
        <w:r w:rsidR="00221E2B">
          <w:rPr>
            <w:noProof/>
            <w:webHidden/>
          </w:rPr>
          <w:t>5</w:t>
        </w:r>
        <w:r w:rsidR="0037663D">
          <w:rPr>
            <w:noProof/>
            <w:webHidden/>
          </w:rPr>
          <w:fldChar w:fldCharType="end"/>
        </w:r>
      </w:hyperlink>
    </w:p>
    <w:p w14:paraId="6CEF32F0" w14:textId="268105D8"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11" w:history="1">
        <w:r w:rsidR="0037663D" w:rsidRPr="00964F72">
          <w:rPr>
            <w:rStyle w:val="Hyperlink"/>
            <w:noProof/>
          </w:rPr>
          <w:t>11</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Risk Delegations</w:t>
        </w:r>
        <w:r w:rsidR="0037663D">
          <w:rPr>
            <w:noProof/>
            <w:webHidden/>
          </w:rPr>
          <w:tab/>
        </w:r>
        <w:r w:rsidR="0037663D">
          <w:rPr>
            <w:noProof/>
            <w:webHidden/>
          </w:rPr>
          <w:fldChar w:fldCharType="begin"/>
        </w:r>
        <w:r w:rsidR="0037663D">
          <w:rPr>
            <w:noProof/>
            <w:webHidden/>
          </w:rPr>
          <w:instrText xml:space="preserve"> PAGEREF _Toc178845011 \h </w:instrText>
        </w:r>
        <w:r w:rsidR="0037663D">
          <w:rPr>
            <w:noProof/>
            <w:webHidden/>
          </w:rPr>
        </w:r>
        <w:r w:rsidR="0037663D">
          <w:rPr>
            <w:noProof/>
            <w:webHidden/>
          </w:rPr>
          <w:fldChar w:fldCharType="separate"/>
        </w:r>
        <w:r w:rsidR="00221E2B">
          <w:rPr>
            <w:noProof/>
            <w:webHidden/>
          </w:rPr>
          <w:t>5</w:t>
        </w:r>
        <w:r w:rsidR="0037663D">
          <w:rPr>
            <w:noProof/>
            <w:webHidden/>
          </w:rPr>
          <w:fldChar w:fldCharType="end"/>
        </w:r>
      </w:hyperlink>
    </w:p>
    <w:p w14:paraId="2F821999" w14:textId="26B238C8" w:rsidR="0037663D" w:rsidRDefault="00AC001E">
      <w:pPr>
        <w:pStyle w:val="TOC1"/>
        <w:rPr>
          <w:rFonts w:asciiTheme="minorHAnsi" w:eastAsiaTheme="minorEastAsia" w:hAnsiTheme="minorHAnsi" w:cstheme="minorBidi"/>
          <w:noProof/>
          <w:color w:val="auto"/>
          <w:kern w:val="2"/>
          <w:lang w:eastAsia="en-AU"/>
          <w14:ligatures w14:val="standardContextual"/>
        </w:rPr>
      </w:pPr>
      <w:hyperlink w:anchor="_Toc178845012" w:history="1">
        <w:r w:rsidR="0037663D" w:rsidRPr="00964F72">
          <w:rPr>
            <w:rStyle w:val="Hyperlink"/>
            <w:noProof/>
          </w:rPr>
          <w:t>12</w:t>
        </w:r>
        <w:r w:rsidR="0037663D">
          <w:rPr>
            <w:rFonts w:asciiTheme="minorHAnsi" w:eastAsiaTheme="minorEastAsia" w:hAnsiTheme="minorHAnsi" w:cstheme="minorBidi"/>
            <w:noProof/>
            <w:color w:val="auto"/>
            <w:kern w:val="2"/>
            <w:lang w:eastAsia="en-AU"/>
            <w14:ligatures w14:val="standardContextual"/>
          </w:rPr>
          <w:tab/>
        </w:r>
        <w:r w:rsidR="0037663D" w:rsidRPr="00964F72">
          <w:rPr>
            <w:rStyle w:val="Hyperlink"/>
            <w:noProof/>
          </w:rPr>
          <w:t>Business Continuity Management</w:t>
        </w:r>
        <w:r w:rsidR="0037663D">
          <w:rPr>
            <w:noProof/>
            <w:webHidden/>
          </w:rPr>
          <w:tab/>
        </w:r>
        <w:r w:rsidR="0037663D">
          <w:rPr>
            <w:noProof/>
            <w:webHidden/>
          </w:rPr>
          <w:fldChar w:fldCharType="begin"/>
        </w:r>
        <w:r w:rsidR="0037663D">
          <w:rPr>
            <w:noProof/>
            <w:webHidden/>
          </w:rPr>
          <w:instrText xml:space="preserve"> PAGEREF _Toc178845012 \h </w:instrText>
        </w:r>
        <w:r w:rsidR="0037663D">
          <w:rPr>
            <w:noProof/>
            <w:webHidden/>
          </w:rPr>
        </w:r>
        <w:r w:rsidR="0037663D">
          <w:rPr>
            <w:noProof/>
            <w:webHidden/>
          </w:rPr>
          <w:fldChar w:fldCharType="separate"/>
        </w:r>
        <w:r w:rsidR="00221E2B">
          <w:rPr>
            <w:noProof/>
            <w:webHidden/>
          </w:rPr>
          <w:t>6</w:t>
        </w:r>
        <w:r w:rsidR="0037663D">
          <w:rPr>
            <w:noProof/>
            <w:webHidden/>
          </w:rPr>
          <w:fldChar w:fldCharType="end"/>
        </w:r>
      </w:hyperlink>
    </w:p>
    <w:p w14:paraId="5ABF8EF6" w14:textId="77777777" w:rsidR="0037663D" w:rsidRDefault="00842A9F" w:rsidP="0037663D">
      <w:r w:rsidRPr="003922AB">
        <w:fldChar w:fldCharType="end"/>
      </w:r>
      <w:bookmarkStart w:id="2" w:name="_Toc9321277"/>
    </w:p>
    <w:p w14:paraId="74D621F3" w14:textId="7533AEA3" w:rsidR="00842A9F" w:rsidRDefault="00D83F3C" w:rsidP="0037663D">
      <w:pPr>
        <w:pStyle w:val="ClauseA"/>
      </w:pPr>
      <w:r>
        <w:t>This Policy is to be read in conjunction with —</w:t>
      </w:r>
    </w:p>
    <w:p w14:paraId="0041B5E2" w14:textId="78F475DD" w:rsidR="005B3AB0" w:rsidRDefault="005B3AB0" w:rsidP="00180F9C">
      <w:pPr>
        <w:pStyle w:val="Clause1"/>
      </w:pPr>
      <w:r>
        <w:t>Risk Management Guideline</w:t>
      </w:r>
      <w:r w:rsidR="0035395A">
        <w:t>s</w:t>
      </w:r>
      <w:r>
        <w:t xml:space="preserve">; </w:t>
      </w:r>
    </w:p>
    <w:p w14:paraId="1E1E6DAF" w14:textId="03435CA0" w:rsidR="00350414" w:rsidRDefault="00350414" w:rsidP="00350414">
      <w:pPr>
        <w:pStyle w:val="Clause1"/>
      </w:pPr>
      <w:r>
        <w:t xml:space="preserve">Risk Appetite Statement; </w:t>
      </w:r>
    </w:p>
    <w:p w14:paraId="12906127" w14:textId="77777777" w:rsidR="00350414" w:rsidRDefault="00350414" w:rsidP="00350414">
      <w:pPr>
        <w:pStyle w:val="Clause1"/>
      </w:pPr>
      <w:r>
        <w:t>Risk Matrix;</w:t>
      </w:r>
    </w:p>
    <w:p w14:paraId="41D5FC3E" w14:textId="555A86FC" w:rsidR="00D83F3C" w:rsidRDefault="00D83F3C" w:rsidP="00180F9C">
      <w:pPr>
        <w:pStyle w:val="Clause1"/>
      </w:pPr>
      <w:r>
        <w:t>Compliance Management Guideline</w:t>
      </w:r>
      <w:r w:rsidR="0035395A">
        <w:t>s</w:t>
      </w:r>
      <w:r w:rsidR="00034C30">
        <w:t>; and</w:t>
      </w:r>
    </w:p>
    <w:p w14:paraId="14B99BFC" w14:textId="77777777" w:rsidR="00350414" w:rsidRPr="00583ACD" w:rsidRDefault="00350414" w:rsidP="00350414">
      <w:pPr>
        <w:pStyle w:val="Clause1"/>
        <w:rPr>
          <w:color w:val="FF0000"/>
        </w:rPr>
      </w:pPr>
      <w:r w:rsidRPr="00C35F2B">
        <w:rPr>
          <w:color w:val="auto"/>
        </w:rPr>
        <w:t>Business Continuity Management System.</w:t>
      </w:r>
    </w:p>
    <w:p w14:paraId="215D3AFE" w14:textId="77777777" w:rsidR="0037663D" w:rsidRDefault="0037663D" w:rsidP="00ED4E3D"/>
    <w:p w14:paraId="6C530888" w14:textId="77777777" w:rsidR="00234CB9" w:rsidRDefault="00234CB9" w:rsidP="0037663D">
      <w:pPr>
        <w:pStyle w:val="Heading1"/>
      </w:pPr>
      <w:bookmarkStart w:id="3" w:name="_Toc55982643"/>
      <w:bookmarkStart w:id="4" w:name="_Toc178845000"/>
      <w:bookmarkEnd w:id="2"/>
      <w:r>
        <w:t>Scope</w:t>
      </w:r>
      <w:bookmarkEnd w:id="3"/>
      <w:bookmarkEnd w:id="4"/>
    </w:p>
    <w:p w14:paraId="487B3959" w14:textId="77777777" w:rsidR="00234CB9" w:rsidRDefault="00234CB9" w:rsidP="0037663D">
      <w:pPr>
        <w:pStyle w:val="Heading2"/>
      </w:pPr>
      <w:bookmarkStart w:id="5" w:name="_Toc9321278"/>
      <w:bookmarkStart w:id="6" w:name="_Toc55982644"/>
      <w:bookmarkStart w:id="7" w:name="_Toc178845001"/>
      <w:r w:rsidRPr="001918E7">
        <w:t>Institutional Scope</w:t>
      </w:r>
      <w:bookmarkStart w:id="8" w:name="_Toc9321279"/>
      <w:bookmarkEnd w:id="5"/>
      <w:bookmarkEnd w:id="6"/>
      <w:bookmarkEnd w:id="7"/>
    </w:p>
    <w:p w14:paraId="3B279F20" w14:textId="02A6C051" w:rsidR="0037663D" w:rsidRPr="0037663D" w:rsidRDefault="0037663D" w:rsidP="0037663D">
      <w:pPr>
        <w:pStyle w:val="ClauseA"/>
      </w:pPr>
      <w:r w:rsidRPr="0037663D">
        <w:t>The scope of this Policy applies to the University.</w:t>
      </w:r>
    </w:p>
    <w:p w14:paraId="41B381D3" w14:textId="77777777" w:rsidR="00234CB9" w:rsidRDefault="00234CB9" w:rsidP="0037663D">
      <w:pPr>
        <w:pStyle w:val="Heading2"/>
      </w:pPr>
      <w:bookmarkStart w:id="9" w:name="_Toc55982645"/>
      <w:bookmarkStart w:id="10" w:name="_Toc178845002"/>
      <w:r>
        <w:t>Individual Scope</w:t>
      </w:r>
      <w:bookmarkEnd w:id="8"/>
      <w:bookmarkEnd w:id="9"/>
      <w:bookmarkEnd w:id="10"/>
    </w:p>
    <w:p w14:paraId="1E88636E" w14:textId="2C76D742" w:rsidR="00234CB9" w:rsidRPr="00A63BE9" w:rsidRDefault="00234CB9" w:rsidP="0037663D">
      <w:pPr>
        <w:pStyle w:val="ClauseA"/>
      </w:pPr>
      <w:r w:rsidRPr="00A63BE9">
        <w:t>The scope of this Policy applies to —</w:t>
      </w:r>
    </w:p>
    <w:p w14:paraId="48B667B3" w14:textId="6631C448" w:rsidR="00524AEA" w:rsidRDefault="00E86BA3" w:rsidP="00180F9C">
      <w:pPr>
        <w:pStyle w:val="Clause1"/>
      </w:pPr>
      <w:r w:rsidRPr="00BD6176">
        <w:rPr>
          <w:b/>
          <w:bCs/>
        </w:rPr>
        <w:t>University Officers</w:t>
      </w:r>
      <w:r w:rsidR="00E739DF">
        <w:t>; and</w:t>
      </w:r>
    </w:p>
    <w:p w14:paraId="6292A924" w14:textId="1329E1D7" w:rsidR="00234CB9" w:rsidRDefault="00234CB9" w:rsidP="00180F9C">
      <w:pPr>
        <w:pStyle w:val="Clause1"/>
      </w:pPr>
      <w:r w:rsidRPr="00BD6176">
        <w:rPr>
          <w:b/>
          <w:bCs/>
        </w:rPr>
        <w:t>Students</w:t>
      </w:r>
      <w:r w:rsidR="00E739DF">
        <w:t>.</w:t>
      </w:r>
    </w:p>
    <w:p w14:paraId="2F6FAE8F" w14:textId="77777777" w:rsidR="00234CB9" w:rsidRPr="00452ED6" w:rsidRDefault="00234CB9" w:rsidP="00180F9C">
      <w:pPr>
        <w:pStyle w:val="Clause1"/>
        <w:numPr>
          <w:ilvl w:val="0"/>
          <w:numId w:val="0"/>
        </w:numPr>
        <w:ind w:left="1717"/>
      </w:pPr>
    </w:p>
    <w:p w14:paraId="6A886DAD" w14:textId="77777777" w:rsidR="00234CB9" w:rsidRPr="00A63BE9" w:rsidRDefault="00234CB9" w:rsidP="0037663D">
      <w:pPr>
        <w:pStyle w:val="Heading1"/>
      </w:pPr>
      <w:bookmarkStart w:id="11" w:name="_Toc55982646"/>
      <w:bookmarkStart w:id="12" w:name="_Toc178845003"/>
      <w:r w:rsidRPr="00A63BE9">
        <w:t xml:space="preserve">Risk </w:t>
      </w:r>
      <w:r>
        <w:t xml:space="preserve">Management </w:t>
      </w:r>
      <w:r w:rsidRPr="00A63BE9">
        <w:t>Framework</w:t>
      </w:r>
      <w:bookmarkEnd w:id="11"/>
      <w:bookmarkEnd w:id="12"/>
    </w:p>
    <w:p w14:paraId="0EE47BDD" w14:textId="05ECA852" w:rsidR="00234CB9" w:rsidRPr="002B4420" w:rsidRDefault="00234CB9" w:rsidP="001A2AEF">
      <w:pPr>
        <w:pStyle w:val="ClauseA"/>
        <w:rPr>
          <w:color w:val="auto"/>
        </w:rPr>
      </w:pPr>
      <w:r w:rsidRPr="00A63BE9">
        <w:t xml:space="preserve">Risk </w:t>
      </w:r>
      <w:r w:rsidRPr="001A2AEF">
        <w:t>Management</w:t>
      </w:r>
      <w:r w:rsidRPr="00A63BE9">
        <w:t xml:space="preserve"> Framework means the organisational arrangements, practices and </w:t>
      </w:r>
      <w:r w:rsidRPr="002B4420">
        <w:rPr>
          <w:color w:val="auto"/>
        </w:rPr>
        <w:t>supporting tools required to embed consistent Risk management into the culture, processes and systems of the University. The Risk Management Framework includes the Risk Policy, Risk Matrix, Risk Appetite Statement, Risk Management Guideline</w:t>
      </w:r>
      <w:r w:rsidR="00167DB0" w:rsidRPr="002B4420">
        <w:rPr>
          <w:color w:val="auto"/>
        </w:rPr>
        <w:t>s</w:t>
      </w:r>
      <w:r w:rsidRPr="002B4420">
        <w:rPr>
          <w:color w:val="auto"/>
        </w:rPr>
        <w:t xml:space="preserve"> and Compliance Management Guideline</w:t>
      </w:r>
      <w:r w:rsidR="00167DB0" w:rsidRPr="002B4420">
        <w:rPr>
          <w:color w:val="auto"/>
        </w:rPr>
        <w:t>s</w:t>
      </w:r>
      <w:r w:rsidR="003E28E0" w:rsidRPr="002B4420">
        <w:rPr>
          <w:color w:val="auto"/>
        </w:rPr>
        <w:t xml:space="preserve">, established to manage risk in accordance with </w:t>
      </w:r>
      <w:r w:rsidR="003E28E0" w:rsidRPr="002B4420">
        <w:rPr>
          <w:i/>
          <w:iCs/>
          <w:color w:val="auto"/>
        </w:rPr>
        <w:t>AS/NZS ISO 31000:2018, Risk Management – Guidelines</w:t>
      </w:r>
      <w:r w:rsidR="003E0B67" w:rsidRPr="002B4420">
        <w:rPr>
          <w:color w:val="auto"/>
        </w:rPr>
        <w:t>.</w:t>
      </w:r>
    </w:p>
    <w:p w14:paraId="702CC6D8" w14:textId="77777777" w:rsidR="00C926CD" w:rsidRPr="002B4420" w:rsidRDefault="00C926CD" w:rsidP="00C926CD">
      <w:pPr>
        <w:pStyle w:val="ClauseA"/>
        <w:rPr>
          <w:color w:val="auto"/>
        </w:rPr>
      </w:pPr>
      <w:r w:rsidRPr="002B4420">
        <w:rPr>
          <w:color w:val="auto"/>
        </w:rPr>
        <w:t>The University will provide clear roles and responsibilities in accordance with the three lines of defence model to enhance risk management which includes —</w:t>
      </w:r>
    </w:p>
    <w:p w14:paraId="00D5488E" w14:textId="03D640CB" w:rsidR="00C926CD" w:rsidRPr="002B4420" w:rsidRDefault="00C926CD" w:rsidP="00C926CD">
      <w:pPr>
        <w:pStyle w:val="Clause1"/>
        <w:ind w:left="1701" w:hanging="850"/>
        <w:rPr>
          <w:color w:val="auto"/>
        </w:rPr>
      </w:pPr>
      <w:r w:rsidRPr="002B4420">
        <w:rPr>
          <w:color w:val="auto"/>
        </w:rPr>
        <w:t xml:space="preserve">First Line: Operational Management — </w:t>
      </w:r>
      <w:r w:rsidRPr="002B4420">
        <w:rPr>
          <w:b/>
          <w:bCs/>
          <w:color w:val="auto"/>
        </w:rPr>
        <w:t>University Officers</w:t>
      </w:r>
      <w:r w:rsidRPr="002B4420">
        <w:rPr>
          <w:color w:val="auto"/>
        </w:rPr>
        <w:t xml:space="preserve"> </w:t>
      </w:r>
      <w:r w:rsidR="00946202" w:rsidRPr="002B4420">
        <w:rPr>
          <w:color w:val="auto"/>
        </w:rPr>
        <w:t>(process owners)</w:t>
      </w:r>
      <w:r w:rsidRPr="002B4420">
        <w:rPr>
          <w:color w:val="auto"/>
        </w:rPr>
        <w:t xml:space="preserve"> will be responsible for identifying, assessing, managing, and mitigating risks within their areas.</w:t>
      </w:r>
      <w:r w:rsidR="00BD711F" w:rsidRPr="002B4420">
        <w:rPr>
          <w:color w:val="auto"/>
        </w:rPr>
        <w:t xml:space="preserve">  This includes the design, operation and implementation of controls.</w:t>
      </w:r>
    </w:p>
    <w:p w14:paraId="114D1B46" w14:textId="1805B10F" w:rsidR="00C926CD" w:rsidRPr="002B4420" w:rsidRDefault="00C926CD" w:rsidP="00C926CD">
      <w:pPr>
        <w:pStyle w:val="Clause1"/>
        <w:ind w:left="1701" w:hanging="850"/>
        <w:rPr>
          <w:color w:val="auto"/>
        </w:rPr>
      </w:pPr>
      <w:r w:rsidRPr="002B4420">
        <w:rPr>
          <w:color w:val="auto"/>
        </w:rPr>
        <w:t xml:space="preserve">Second Line: Risk and Compliance Functions — Business Units with specialist risk and compliance responsibilities will: </w:t>
      </w:r>
    </w:p>
    <w:p w14:paraId="561BFBEF" w14:textId="06F588CB" w:rsidR="00C926CD" w:rsidRPr="002B4420" w:rsidRDefault="001D1704" w:rsidP="00C926CD">
      <w:pPr>
        <w:pStyle w:val="Clause1"/>
        <w:numPr>
          <w:ilvl w:val="0"/>
          <w:numId w:val="35"/>
        </w:numPr>
        <w:rPr>
          <w:color w:val="auto"/>
        </w:rPr>
      </w:pPr>
      <w:r w:rsidRPr="002B4420">
        <w:rPr>
          <w:color w:val="auto"/>
        </w:rPr>
        <w:t xml:space="preserve">Provide compliance and oversight in the form of </w:t>
      </w:r>
      <w:r w:rsidR="00BC102B" w:rsidRPr="002B4420">
        <w:rPr>
          <w:color w:val="auto"/>
        </w:rPr>
        <w:t>frameworks, pol</w:t>
      </w:r>
      <w:r w:rsidR="00913B6F" w:rsidRPr="002B4420">
        <w:rPr>
          <w:color w:val="auto"/>
        </w:rPr>
        <w:t xml:space="preserve">icies </w:t>
      </w:r>
      <w:r w:rsidR="00C926CD" w:rsidRPr="002B4420">
        <w:rPr>
          <w:color w:val="auto"/>
        </w:rPr>
        <w:t>and/or systems within their areas of expertise;</w:t>
      </w:r>
    </w:p>
    <w:p w14:paraId="0A9CEB50" w14:textId="77777777" w:rsidR="00C926CD" w:rsidRPr="002B4420" w:rsidRDefault="00C926CD" w:rsidP="00C926CD">
      <w:pPr>
        <w:pStyle w:val="Clause1"/>
        <w:numPr>
          <w:ilvl w:val="0"/>
          <w:numId w:val="35"/>
        </w:numPr>
        <w:rPr>
          <w:color w:val="auto"/>
        </w:rPr>
      </w:pPr>
      <w:r w:rsidRPr="002B4420">
        <w:rPr>
          <w:color w:val="auto"/>
        </w:rPr>
        <w:t xml:space="preserve">provide guidance, support, tools and advice to facilitate effective risk and </w:t>
      </w:r>
      <w:r w:rsidRPr="002B4420">
        <w:rPr>
          <w:color w:val="auto"/>
        </w:rPr>
        <w:lastRenderedPageBreak/>
        <w:t xml:space="preserve">compliance management; and </w:t>
      </w:r>
    </w:p>
    <w:p w14:paraId="40FC1203" w14:textId="77777777" w:rsidR="00C926CD" w:rsidRPr="002B4420" w:rsidRDefault="00C926CD" w:rsidP="00C926CD">
      <w:pPr>
        <w:pStyle w:val="Clause1"/>
        <w:numPr>
          <w:ilvl w:val="0"/>
          <w:numId w:val="35"/>
        </w:numPr>
        <w:rPr>
          <w:color w:val="auto"/>
        </w:rPr>
      </w:pPr>
      <w:r w:rsidRPr="002B4420">
        <w:rPr>
          <w:color w:val="auto"/>
        </w:rPr>
        <w:t>monitor the effectiveness of risk management practices.</w:t>
      </w:r>
    </w:p>
    <w:p w14:paraId="214BCE8A" w14:textId="7EA06AB8" w:rsidR="00C926CD" w:rsidRPr="002B4420" w:rsidRDefault="00C926CD" w:rsidP="00C926CD">
      <w:pPr>
        <w:pStyle w:val="Clause1"/>
        <w:ind w:left="1701" w:hanging="850"/>
        <w:rPr>
          <w:color w:val="auto"/>
        </w:rPr>
      </w:pPr>
      <w:r w:rsidRPr="002B4420">
        <w:rPr>
          <w:color w:val="auto"/>
        </w:rPr>
        <w:t xml:space="preserve">Third Line: </w:t>
      </w:r>
      <w:r w:rsidR="004B27FF" w:rsidRPr="002B4420">
        <w:rPr>
          <w:color w:val="auto"/>
        </w:rPr>
        <w:t xml:space="preserve">independent auditors (both internal and external) will </w:t>
      </w:r>
      <w:r w:rsidRPr="002B4420">
        <w:rPr>
          <w:color w:val="auto"/>
        </w:rPr>
        <w:t xml:space="preserve">provide </w:t>
      </w:r>
      <w:r w:rsidR="00A13B86" w:rsidRPr="002B4420">
        <w:rPr>
          <w:color w:val="auto"/>
        </w:rPr>
        <w:t>o</w:t>
      </w:r>
      <w:r w:rsidR="00347417" w:rsidRPr="002B4420">
        <w:rPr>
          <w:color w:val="auto"/>
        </w:rPr>
        <w:t>b</w:t>
      </w:r>
      <w:r w:rsidR="00A13B86" w:rsidRPr="002B4420">
        <w:rPr>
          <w:color w:val="auto"/>
        </w:rPr>
        <w:t xml:space="preserve">jective and independent </w:t>
      </w:r>
      <w:r w:rsidRPr="002B4420">
        <w:rPr>
          <w:color w:val="auto"/>
        </w:rPr>
        <w:t xml:space="preserve">assurance on the effectiveness of governance, risk management and internal controls. </w:t>
      </w:r>
    </w:p>
    <w:p w14:paraId="015647F2" w14:textId="639994A0" w:rsidR="008A540C" w:rsidRPr="002B4420" w:rsidRDefault="00CB119D" w:rsidP="008A540C">
      <w:pPr>
        <w:pStyle w:val="ClauseA"/>
        <w:rPr>
          <w:color w:val="auto"/>
        </w:rPr>
      </w:pPr>
      <w:r w:rsidRPr="002B4420">
        <w:rPr>
          <w:color w:val="auto"/>
        </w:rPr>
        <w:t xml:space="preserve">The Chief Risk Officer </w:t>
      </w:r>
      <w:r w:rsidR="00180F9C" w:rsidRPr="002B4420">
        <w:rPr>
          <w:color w:val="auto"/>
        </w:rPr>
        <w:t xml:space="preserve">will develop and manage the Risk Management Framework to assist the Executive in managing Risk on behalf of the </w:t>
      </w:r>
      <w:r w:rsidR="00180F9C" w:rsidRPr="002B4420">
        <w:rPr>
          <w:b/>
          <w:bCs/>
          <w:color w:val="auto"/>
        </w:rPr>
        <w:t>Senate</w:t>
      </w:r>
      <w:r w:rsidR="00180F9C" w:rsidRPr="002B4420">
        <w:rPr>
          <w:color w:val="auto"/>
        </w:rPr>
        <w:t>.</w:t>
      </w:r>
      <w:bookmarkStart w:id="13" w:name="_Toc55982647"/>
      <w:bookmarkStart w:id="14" w:name="_Toc178845004"/>
    </w:p>
    <w:p w14:paraId="27ACA271" w14:textId="77777777" w:rsidR="008A540C" w:rsidRPr="002B4420" w:rsidRDefault="008A540C" w:rsidP="008A540C">
      <w:pPr>
        <w:rPr>
          <w:color w:val="auto"/>
        </w:rPr>
      </w:pPr>
    </w:p>
    <w:p w14:paraId="018A665B" w14:textId="1309FDB2" w:rsidR="00234CB9" w:rsidRPr="00E17CFC" w:rsidRDefault="00234CB9" w:rsidP="002B4420">
      <w:pPr>
        <w:pStyle w:val="Heading1"/>
        <w:ind w:left="851" w:hanging="851"/>
      </w:pPr>
      <w:r w:rsidRPr="00E17CFC">
        <w:t>Risk</w:t>
      </w:r>
      <w:bookmarkEnd w:id="13"/>
      <w:bookmarkEnd w:id="14"/>
    </w:p>
    <w:p w14:paraId="66B8A9EA" w14:textId="26CC5A42" w:rsidR="0035537C" w:rsidRPr="002B4420" w:rsidRDefault="00234CB9" w:rsidP="0037663D">
      <w:pPr>
        <w:pStyle w:val="ClauseA"/>
        <w:rPr>
          <w:color w:val="auto"/>
        </w:rPr>
      </w:pPr>
      <w:r w:rsidRPr="002B4420">
        <w:rPr>
          <w:color w:val="auto"/>
        </w:rPr>
        <w:t xml:space="preserve">Risk means the </w:t>
      </w:r>
      <w:r w:rsidR="007B3AF2" w:rsidRPr="002B4420">
        <w:rPr>
          <w:color w:val="auto"/>
        </w:rPr>
        <w:t>“</w:t>
      </w:r>
      <w:r w:rsidRPr="002B4420">
        <w:rPr>
          <w:color w:val="auto"/>
        </w:rPr>
        <w:t>effect</w:t>
      </w:r>
      <w:r w:rsidR="007B3AF2" w:rsidRPr="002B4420">
        <w:rPr>
          <w:color w:val="auto"/>
        </w:rPr>
        <w:t>”</w:t>
      </w:r>
      <w:r w:rsidRPr="002B4420">
        <w:rPr>
          <w:color w:val="auto"/>
        </w:rPr>
        <w:t xml:space="preserve"> of uncertainty on objectives as defined by Standards Australia (AS/NZS ISO 31000: 2018; Risk Management – Guidelines) and</w:t>
      </w:r>
      <w:r w:rsidR="0070290F" w:rsidRPr="002B4420">
        <w:rPr>
          <w:color w:val="auto"/>
        </w:rPr>
        <w:t xml:space="preserve"> —</w:t>
      </w:r>
    </w:p>
    <w:p w14:paraId="16E990B6" w14:textId="1276FAD8" w:rsidR="0035537C" w:rsidRPr="002B4420" w:rsidRDefault="00234CB9" w:rsidP="00180F9C">
      <w:pPr>
        <w:pStyle w:val="Heading5"/>
        <w:rPr>
          <w:color w:val="auto"/>
        </w:rPr>
      </w:pPr>
      <w:r w:rsidRPr="002B4420">
        <w:rPr>
          <w:color w:val="auto"/>
        </w:rPr>
        <w:t>is expressed by reference to a potential event occurring</w:t>
      </w:r>
      <w:r w:rsidR="0035537C" w:rsidRPr="002B4420">
        <w:rPr>
          <w:color w:val="auto"/>
        </w:rPr>
        <w:t xml:space="preserve">; </w:t>
      </w:r>
    </w:p>
    <w:p w14:paraId="4B11D847" w14:textId="77777777" w:rsidR="009364D0" w:rsidRPr="002B4420" w:rsidRDefault="0030564A" w:rsidP="009364D0">
      <w:pPr>
        <w:pStyle w:val="Heading5"/>
        <w:rPr>
          <w:color w:val="auto"/>
        </w:rPr>
      </w:pPr>
      <w:r w:rsidRPr="002B4420">
        <w:rPr>
          <w:color w:val="auto"/>
        </w:rPr>
        <w:t>i</w:t>
      </w:r>
      <w:r w:rsidR="009F4F30" w:rsidRPr="002B4420">
        <w:rPr>
          <w:color w:val="auto"/>
        </w:rPr>
        <w:t xml:space="preserve">s </w:t>
      </w:r>
      <w:r w:rsidR="00234CB9" w:rsidRPr="002B4420">
        <w:rPr>
          <w:color w:val="auto"/>
        </w:rPr>
        <w:t xml:space="preserve">measured in terms of a combination of the likelihood of </w:t>
      </w:r>
      <w:r w:rsidR="00F42723" w:rsidRPr="002B4420">
        <w:rPr>
          <w:color w:val="auto"/>
        </w:rPr>
        <w:t xml:space="preserve">an </w:t>
      </w:r>
      <w:r w:rsidR="00234CB9" w:rsidRPr="002B4420">
        <w:rPr>
          <w:color w:val="auto"/>
        </w:rPr>
        <w:t>event occurring</w:t>
      </w:r>
      <w:r w:rsidR="00977FC6" w:rsidRPr="002B4420">
        <w:rPr>
          <w:color w:val="auto"/>
        </w:rPr>
        <w:t xml:space="preserve"> and </w:t>
      </w:r>
      <w:r w:rsidR="00234CB9" w:rsidRPr="002B4420">
        <w:rPr>
          <w:color w:val="auto"/>
        </w:rPr>
        <w:t xml:space="preserve">the consequence if </w:t>
      </w:r>
      <w:r w:rsidR="009F4F30" w:rsidRPr="002B4420">
        <w:rPr>
          <w:color w:val="auto"/>
        </w:rPr>
        <w:t xml:space="preserve">that </w:t>
      </w:r>
      <w:r w:rsidR="00234CB9" w:rsidRPr="002B4420">
        <w:rPr>
          <w:color w:val="auto"/>
        </w:rPr>
        <w:t>event was to occur</w:t>
      </w:r>
      <w:r w:rsidR="00A119BC" w:rsidRPr="002B4420">
        <w:rPr>
          <w:color w:val="auto"/>
        </w:rPr>
        <w:t xml:space="preserve">; </w:t>
      </w:r>
      <w:r w:rsidR="009364D0" w:rsidRPr="002B4420">
        <w:rPr>
          <w:color w:val="auto"/>
        </w:rPr>
        <w:t>and</w:t>
      </w:r>
    </w:p>
    <w:p w14:paraId="06A2FDA7" w14:textId="77777777" w:rsidR="009364D0" w:rsidRPr="002B4420" w:rsidRDefault="009364D0" w:rsidP="009364D0">
      <w:pPr>
        <w:pStyle w:val="Heading5"/>
        <w:rPr>
          <w:color w:val="auto"/>
        </w:rPr>
      </w:pPr>
      <w:r w:rsidRPr="002B4420">
        <w:rPr>
          <w:color w:val="auto"/>
        </w:rPr>
        <w:t>represents a deviation from the expected and can be positive, negative or both and may address, create or result in opportunities and threats.</w:t>
      </w:r>
    </w:p>
    <w:p w14:paraId="5B295986" w14:textId="35E9ABB0" w:rsidR="00234CB9" w:rsidRPr="00A63BE9" w:rsidRDefault="00234CB9" w:rsidP="002B4420">
      <w:pPr>
        <w:pStyle w:val="Heading5"/>
        <w:numPr>
          <w:ilvl w:val="0"/>
          <w:numId w:val="0"/>
        </w:numPr>
        <w:ind w:left="1701"/>
      </w:pPr>
    </w:p>
    <w:p w14:paraId="5C5C6011" w14:textId="77777777" w:rsidR="00234CB9" w:rsidRPr="00A63BE9" w:rsidRDefault="00234CB9" w:rsidP="0037663D">
      <w:pPr>
        <w:pStyle w:val="Heading1"/>
      </w:pPr>
      <w:bookmarkStart w:id="15" w:name="_Toc55982648"/>
      <w:bookmarkStart w:id="16" w:name="_Toc178845005"/>
      <w:r w:rsidRPr="00A63BE9">
        <w:t>Risk Type</w:t>
      </w:r>
      <w:bookmarkEnd w:id="15"/>
      <w:bookmarkEnd w:id="16"/>
    </w:p>
    <w:p w14:paraId="5EDE45B7" w14:textId="77777777" w:rsidR="00234CB9" w:rsidRPr="00A63BE9" w:rsidRDefault="00234CB9" w:rsidP="0037663D">
      <w:pPr>
        <w:pStyle w:val="ClauseA"/>
      </w:pPr>
      <w:r w:rsidRPr="00A63BE9">
        <w:t>The University will manage Risks differently according to the following types —</w:t>
      </w:r>
    </w:p>
    <w:p w14:paraId="7FCC6D3F" w14:textId="7469A61C" w:rsidR="003D3788" w:rsidRPr="00A63BE9" w:rsidRDefault="003D3788" w:rsidP="003D3788">
      <w:pPr>
        <w:pStyle w:val="Clause1"/>
      </w:pPr>
      <w:r w:rsidRPr="00E26498">
        <w:rPr>
          <w:b/>
        </w:rPr>
        <w:t>Strategic Risk</w:t>
      </w:r>
      <w:r w:rsidRPr="00A63BE9">
        <w:t xml:space="preserve"> means Risk that </w:t>
      </w:r>
      <w:r w:rsidR="00B46303">
        <w:t>may impact the</w:t>
      </w:r>
      <w:r w:rsidRPr="00A63BE9">
        <w:t xml:space="preserve"> University</w:t>
      </w:r>
      <w:r w:rsidR="00B46303">
        <w:t>’s</w:t>
      </w:r>
      <w:r w:rsidRPr="00A63BE9">
        <w:t xml:space="preserve"> strategic objectives;</w:t>
      </w:r>
    </w:p>
    <w:p w14:paraId="60880897" w14:textId="3D7B9DBB" w:rsidR="003D3788" w:rsidRPr="00A63BE9" w:rsidRDefault="003D3788" w:rsidP="003D3788">
      <w:pPr>
        <w:pStyle w:val="Clause1"/>
      </w:pPr>
      <w:r w:rsidRPr="00E26498">
        <w:rPr>
          <w:b/>
        </w:rPr>
        <w:t>Operational Risk</w:t>
      </w:r>
      <w:r>
        <w:t xml:space="preserve"> means Risk </w:t>
      </w:r>
      <w:r w:rsidRPr="00A63BE9">
        <w:t xml:space="preserve">that </w:t>
      </w:r>
      <w:r w:rsidR="00D65BE8">
        <w:t>may impact</w:t>
      </w:r>
      <w:r w:rsidR="00D65BE8" w:rsidRPr="00A63BE9">
        <w:t xml:space="preserve"> </w:t>
      </w:r>
      <w:r w:rsidRPr="00E26498">
        <w:rPr>
          <w:b/>
        </w:rPr>
        <w:t>Business Units</w:t>
      </w:r>
      <w:r w:rsidR="00D65BE8">
        <w:rPr>
          <w:b/>
        </w:rPr>
        <w:t>’</w:t>
      </w:r>
      <w:r w:rsidRPr="00A63BE9">
        <w:t xml:space="preserve"> performance targets and delivery of outcomes;</w:t>
      </w:r>
    </w:p>
    <w:p w14:paraId="5DBE68B0" w14:textId="4A5EDA03" w:rsidR="003D3788" w:rsidRPr="00A63BE9" w:rsidRDefault="003D3788" w:rsidP="003D3788">
      <w:pPr>
        <w:pStyle w:val="Clause1"/>
      </w:pPr>
      <w:r w:rsidRPr="00E26498">
        <w:rPr>
          <w:b/>
        </w:rPr>
        <w:t>Compliance Risk</w:t>
      </w:r>
      <w:r w:rsidRPr="00A63BE9">
        <w:t xml:space="preserve"> me</w:t>
      </w:r>
      <w:r>
        <w:t>ans Risk</w:t>
      </w:r>
      <w:r w:rsidRPr="00A63BE9">
        <w:t xml:space="preserve"> </w:t>
      </w:r>
      <w:r w:rsidR="00265A24">
        <w:t>that may impact</w:t>
      </w:r>
      <w:r w:rsidRPr="00A63BE9">
        <w:t xml:space="preserve"> the University’s </w:t>
      </w:r>
      <w:r w:rsidR="00187083">
        <w:t xml:space="preserve">ability to meet </w:t>
      </w:r>
      <w:r w:rsidRPr="00A63BE9">
        <w:t>obligations, including but not limited to those required by law, industry standards, codes of good governance and community commitments</w:t>
      </w:r>
      <w:r>
        <w:t>; and</w:t>
      </w:r>
    </w:p>
    <w:p w14:paraId="6CC30DFD" w14:textId="797246BA" w:rsidR="003D3788" w:rsidRPr="00A63BE9" w:rsidRDefault="003D3788" w:rsidP="003D3788">
      <w:pPr>
        <w:pStyle w:val="Clause1"/>
      </w:pPr>
      <w:r w:rsidRPr="00E26498">
        <w:rPr>
          <w:b/>
        </w:rPr>
        <w:t>Project Risk</w:t>
      </w:r>
      <w:r w:rsidRPr="00A63BE9">
        <w:t xml:space="preserve"> means Risk </w:t>
      </w:r>
      <w:r w:rsidR="00C12708">
        <w:t xml:space="preserve">that may impact </w:t>
      </w:r>
      <w:r w:rsidRPr="00A63BE9">
        <w:t>Business Units</w:t>
      </w:r>
      <w:r w:rsidR="00875F3E">
        <w:t xml:space="preserve"> </w:t>
      </w:r>
      <w:r w:rsidRPr="00A63BE9">
        <w:t xml:space="preserve">change initiative or project </w:t>
      </w:r>
      <w:r>
        <w:t xml:space="preserve">deliverables, </w:t>
      </w:r>
      <w:r w:rsidRPr="00A63BE9">
        <w:t xml:space="preserve">timelines, milestones, activities, budgets and output quality.  </w:t>
      </w:r>
    </w:p>
    <w:p w14:paraId="65ACAB14" w14:textId="77777777" w:rsidR="00234CB9" w:rsidRPr="00A63BE9" w:rsidRDefault="00234CB9" w:rsidP="0037663D">
      <w:pPr>
        <w:pStyle w:val="ClauseA"/>
      </w:pPr>
      <w:r w:rsidRPr="00A63BE9">
        <w:t>The University will manage Risks in accor</w:t>
      </w:r>
      <w:r>
        <w:t>dance with the Risk Management F</w:t>
      </w:r>
      <w:r w:rsidRPr="00A63BE9">
        <w:t>ramework</w:t>
      </w:r>
      <w:r>
        <w:t>.</w:t>
      </w:r>
    </w:p>
    <w:p w14:paraId="2C2C1E05" w14:textId="77777777" w:rsidR="00234CB9" w:rsidRPr="00A63BE9" w:rsidRDefault="00234CB9" w:rsidP="00234CB9"/>
    <w:p w14:paraId="3388740B" w14:textId="77777777" w:rsidR="00234CB9" w:rsidRPr="00A63BE9" w:rsidRDefault="00234CB9" w:rsidP="0037663D">
      <w:pPr>
        <w:pStyle w:val="Heading1"/>
      </w:pPr>
      <w:bookmarkStart w:id="17" w:name="_Toc55982649"/>
      <w:bookmarkStart w:id="18" w:name="_Toc178845006"/>
      <w:r w:rsidRPr="00A63BE9">
        <w:t>Risk Appetite</w:t>
      </w:r>
      <w:bookmarkEnd w:id="17"/>
      <w:bookmarkEnd w:id="18"/>
    </w:p>
    <w:p w14:paraId="14D895C0" w14:textId="77777777" w:rsidR="00234CB9" w:rsidRDefault="00234CB9" w:rsidP="0037663D">
      <w:pPr>
        <w:pStyle w:val="ClauseA"/>
      </w:pPr>
      <w:r w:rsidRPr="00E26498">
        <w:rPr>
          <w:b/>
        </w:rPr>
        <w:t>Risk Appetite</w:t>
      </w:r>
      <w:r w:rsidRPr="00A63BE9">
        <w:t xml:space="preserve"> </w:t>
      </w:r>
      <w:r>
        <w:t>means</w:t>
      </w:r>
      <w:r w:rsidRPr="00A63BE9">
        <w:t xml:space="preserve"> the degree of Risk that the University is willing to accept in pursuit of its strategic and operational </w:t>
      </w:r>
      <w:r>
        <w:t>objectives</w:t>
      </w:r>
      <w:r w:rsidRPr="00A63BE9">
        <w:t xml:space="preserve">. </w:t>
      </w:r>
    </w:p>
    <w:p w14:paraId="53F5B2BA" w14:textId="30103F9D" w:rsidR="00234CB9" w:rsidRPr="00A63BE9" w:rsidRDefault="0047541B" w:rsidP="0037663D">
      <w:pPr>
        <w:pStyle w:val="ClauseA"/>
      </w:pPr>
      <w:r>
        <w:t xml:space="preserve">University Officers </w:t>
      </w:r>
      <w:r w:rsidR="00234CB9">
        <w:t xml:space="preserve">must </w:t>
      </w:r>
      <w:r w:rsidR="00234CB9" w:rsidRPr="00A63BE9">
        <w:t>consider</w:t>
      </w:r>
      <w:r w:rsidR="00234CB9">
        <w:t xml:space="preserve"> t</w:t>
      </w:r>
      <w:r w:rsidR="00234CB9" w:rsidRPr="00A63BE9">
        <w:t xml:space="preserve">he Risk Appetite Statement during University planning and decision-making, to </w:t>
      </w:r>
      <w:r w:rsidR="00234CB9">
        <w:t>enable</w:t>
      </w:r>
      <w:r w:rsidR="00234CB9" w:rsidRPr="00A63BE9">
        <w:t xml:space="preserve"> decisions</w:t>
      </w:r>
      <w:r w:rsidR="00234CB9">
        <w:t xml:space="preserve"> that</w:t>
      </w:r>
      <w:r w:rsidR="00234CB9" w:rsidRPr="00A63BE9">
        <w:t xml:space="preserve"> reflect the University’s position on </w:t>
      </w:r>
      <w:r w:rsidR="00EF4ACA">
        <w:t>R</w:t>
      </w:r>
      <w:r w:rsidR="00234CB9" w:rsidRPr="00A63BE9">
        <w:t>isk</w:t>
      </w:r>
      <w:r w:rsidR="00234CB9">
        <w:t xml:space="preserve">s that are </w:t>
      </w:r>
      <w:r w:rsidR="00234CB9" w:rsidRPr="00A63BE9">
        <w:t xml:space="preserve">acceptable and necessary in pursuing </w:t>
      </w:r>
      <w:r w:rsidR="00234CB9">
        <w:t xml:space="preserve">strategic and operational </w:t>
      </w:r>
      <w:r w:rsidR="00234CB9" w:rsidRPr="00A63BE9">
        <w:t xml:space="preserve">objectives. </w:t>
      </w:r>
    </w:p>
    <w:p w14:paraId="13D66A75" w14:textId="77777777" w:rsidR="00234CB9" w:rsidRPr="00A63BE9" w:rsidRDefault="00234CB9" w:rsidP="0037663D">
      <w:pPr>
        <w:pStyle w:val="ClauseA"/>
      </w:pPr>
      <w:r w:rsidRPr="00A63BE9">
        <w:lastRenderedPageBreak/>
        <w:t>Senate will approve the University’s Risk Appetite Statement, which will be available on the Staff Intranet.</w:t>
      </w:r>
    </w:p>
    <w:p w14:paraId="23BEB8A9" w14:textId="7A652F31" w:rsidR="00234CB9" w:rsidRPr="00A63BE9" w:rsidRDefault="00171C64" w:rsidP="0037663D">
      <w:pPr>
        <w:pStyle w:val="ClauseA"/>
      </w:pPr>
      <w:r>
        <w:t xml:space="preserve">UWA </w:t>
      </w:r>
      <w:r w:rsidR="008C598C">
        <w:t xml:space="preserve">Strategic Assurance </w:t>
      </w:r>
      <w:r w:rsidR="00234CB9" w:rsidRPr="00A63BE9">
        <w:t>will facilitate annual reviews of the Risk Appetite Statement.</w:t>
      </w:r>
    </w:p>
    <w:p w14:paraId="66BF0109" w14:textId="77777777" w:rsidR="00234CB9" w:rsidRPr="00A63BE9" w:rsidRDefault="00234CB9" w:rsidP="00234CB9"/>
    <w:p w14:paraId="4897A7B6" w14:textId="77777777" w:rsidR="00234CB9" w:rsidRPr="00A63BE9" w:rsidRDefault="00234CB9" w:rsidP="0037663D">
      <w:pPr>
        <w:pStyle w:val="Heading1"/>
      </w:pPr>
      <w:bookmarkStart w:id="19" w:name="_Toc55982650"/>
      <w:bookmarkStart w:id="20" w:name="_Toc178845007"/>
      <w:r w:rsidRPr="00A63BE9">
        <w:t>Risk Owners</w:t>
      </w:r>
      <w:bookmarkEnd w:id="19"/>
      <w:bookmarkEnd w:id="20"/>
    </w:p>
    <w:p w14:paraId="7D09CB1A" w14:textId="77777777" w:rsidR="00234CB9" w:rsidRPr="00A63BE9" w:rsidRDefault="00234CB9" w:rsidP="0037663D">
      <w:pPr>
        <w:pStyle w:val="ClauseA"/>
      </w:pPr>
      <w:r w:rsidRPr="00A63BE9">
        <w:t>The Vice-Chancellor will assign a</w:t>
      </w:r>
      <w:r>
        <w:t>n</w:t>
      </w:r>
      <w:r w:rsidRPr="00A63BE9">
        <w:t xml:space="preserve"> </w:t>
      </w:r>
      <w:r w:rsidRPr="00E42BBF">
        <w:rPr>
          <w:b/>
        </w:rPr>
        <w:t>Executive Member</w:t>
      </w:r>
      <w:r>
        <w:t xml:space="preserve"> </w:t>
      </w:r>
      <w:r w:rsidRPr="00A63BE9">
        <w:t xml:space="preserve">as an owner for each </w:t>
      </w:r>
      <w:r>
        <w:t>R</w:t>
      </w:r>
      <w:r w:rsidRPr="00A63BE9">
        <w:t>isk listed in the University Strategic Risk Register.</w:t>
      </w:r>
    </w:p>
    <w:p w14:paraId="7BC1AA6A" w14:textId="4C165C09" w:rsidR="00234CB9" w:rsidRPr="007C7A18" w:rsidRDefault="00BE2EEF" w:rsidP="0037663D">
      <w:pPr>
        <w:pStyle w:val="ClauseA"/>
      </w:pPr>
      <w:r>
        <w:t>Heads</w:t>
      </w:r>
      <w:r w:rsidR="00234CB9" w:rsidRPr="007C7A18">
        <w:t xml:space="preserve"> of </w:t>
      </w:r>
      <w:r w:rsidR="00234CB9" w:rsidRPr="00BE2EEF">
        <w:rPr>
          <w:bCs/>
        </w:rPr>
        <w:t>Business Unit</w:t>
      </w:r>
      <w:r w:rsidRPr="00BE2EEF">
        <w:rPr>
          <w:bCs/>
        </w:rPr>
        <w:t>s</w:t>
      </w:r>
      <w:r w:rsidR="00234CB9" w:rsidRPr="007C7A18">
        <w:t xml:space="preserve"> or project sponsor</w:t>
      </w:r>
      <w:r>
        <w:t>s</w:t>
      </w:r>
      <w:r w:rsidR="00234CB9" w:rsidRPr="007C7A18">
        <w:t xml:space="preserve">, as appropriate, will assign an owner to each Risk listed in a local Business Unit Risk </w:t>
      </w:r>
      <w:r w:rsidR="001D37A0">
        <w:t>r</w:t>
      </w:r>
      <w:r w:rsidR="00234CB9" w:rsidRPr="007C7A18">
        <w:t xml:space="preserve">egister or Project Risk </w:t>
      </w:r>
      <w:r w:rsidR="001D37A0">
        <w:t>r</w:t>
      </w:r>
      <w:r w:rsidR="00234CB9" w:rsidRPr="007C7A18">
        <w:t>egister.</w:t>
      </w:r>
    </w:p>
    <w:p w14:paraId="4FB39C05" w14:textId="77777777" w:rsidR="00234CB9" w:rsidRPr="00A63BE9" w:rsidRDefault="00234CB9" w:rsidP="00234CB9"/>
    <w:p w14:paraId="38753ADE" w14:textId="77777777" w:rsidR="00234CB9" w:rsidRPr="00A63BE9" w:rsidRDefault="00234CB9" w:rsidP="0037663D">
      <w:pPr>
        <w:pStyle w:val="Heading1"/>
      </w:pPr>
      <w:bookmarkStart w:id="21" w:name="_Toc55982651"/>
      <w:bookmarkStart w:id="22" w:name="_Toc178845008"/>
      <w:r w:rsidRPr="00A63BE9">
        <w:t>Risk Assessment</w:t>
      </w:r>
      <w:bookmarkEnd w:id="21"/>
      <w:bookmarkEnd w:id="22"/>
    </w:p>
    <w:p w14:paraId="04602254" w14:textId="77777777" w:rsidR="00234CB9" w:rsidRPr="00A63BE9" w:rsidRDefault="00234CB9" w:rsidP="0037663D">
      <w:pPr>
        <w:pStyle w:val="ClauseA"/>
      </w:pPr>
      <w:r w:rsidRPr="00E42BBF">
        <w:rPr>
          <w:b/>
        </w:rPr>
        <w:t>Risk Assessment</w:t>
      </w:r>
      <w:r w:rsidRPr="00A63BE9">
        <w:t xml:space="preserve"> means the process of identification, analysis and evaluation of Risks to strategic and operational outcomes.</w:t>
      </w:r>
    </w:p>
    <w:p w14:paraId="7711B586" w14:textId="16D05DBE" w:rsidR="00234CB9" w:rsidRPr="00A63BE9" w:rsidRDefault="00234CB9" w:rsidP="0037663D">
      <w:pPr>
        <w:pStyle w:val="ClauseA"/>
      </w:pPr>
      <w:r w:rsidRPr="007C7A18">
        <w:t xml:space="preserve">Business Units </w:t>
      </w:r>
      <w:r w:rsidRPr="00A63BE9">
        <w:t xml:space="preserve">must </w:t>
      </w:r>
      <w:r>
        <w:t>perform a Risk Assessment a</w:t>
      </w:r>
      <w:r w:rsidRPr="00A63BE9">
        <w:t xml:space="preserve">t least once a year in accordance with the Risk Management Framework, which includes </w:t>
      </w:r>
      <w:r>
        <w:t>—</w:t>
      </w:r>
    </w:p>
    <w:p w14:paraId="7D6DBAAE" w14:textId="77777777" w:rsidR="00234CB9" w:rsidRPr="00A63BE9" w:rsidRDefault="00234CB9" w:rsidP="00180F9C">
      <w:pPr>
        <w:pStyle w:val="Clause1"/>
      </w:pPr>
      <w:r w:rsidRPr="00A63BE9">
        <w:t xml:space="preserve">identifying, analysing and evaluating </w:t>
      </w:r>
      <w:r>
        <w:t>R</w:t>
      </w:r>
      <w:r w:rsidRPr="00A63BE9">
        <w:t>isks;</w:t>
      </w:r>
    </w:p>
    <w:p w14:paraId="759F9FB7" w14:textId="77777777" w:rsidR="00234CB9" w:rsidRPr="00A63BE9" w:rsidRDefault="00234CB9" w:rsidP="00180F9C">
      <w:pPr>
        <w:pStyle w:val="Clause1"/>
      </w:pPr>
      <w:r w:rsidRPr="00A63BE9">
        <w:t xml:space="preserve">developing and implementing </w:t>
      </w:r>
      <w:r>
        <w:t>R</w:t>
      </w:r>
      <w:r w:rsidRPr="00A63BE9">
        <w:t>isk treatment strategies; and</w:t>
      </w:r>
    </w:p>
    <w:p w14:paraId="07BF2F16" w14:textId="77777777" w:rsidR="00234CB9" w:rsidRPr="00A63BE9" w:rsidRDefault="00234CB9" w:rsidP="00180F9C">
      <w:pPr>
        <w:pStyle w:val="Clause1"/>
      </w:pPr>
      <w:r w:rsidRPr="00A63BE9">
        <w:t>monitoring and reviewing the effectiveness of strategies.</w:t>
      </w:r>
    </w:p>
    <w:p w14:paraId="4C7E1F5B" w14:textId="7F80916F" w:rsidR="00234CB9" w:rsidRDefault="00A92D3D" w:rsidP="0037663D">
      <w:pPr>
        <w:pStyle w:val="ClauseA"/>
      </w:pPr>
      <w:r>
        <w:t>University Officers</w:t>
      </w:r>
      <w:r w:rsidR="00234CB9">
        <w:t xml:space="preserve"> </w:t>
      </w:r>
      <w:r w:rsidR="00234CB9" w:rsidRPr="00A63BE9">
        <w:t>must conduct</w:t>
      </w:r>
      <w:r w:rsidR="00234CB9">
        <w:t xml:space="preserve"> </w:t>
      </w:r>
      <w:r w:rsidR="00234CB9" w:rsidRPr="00A63BE9">
        <w:t xml:space="preserve">Risk </w:t>
      </w:r>
      <w:r w:rsidR="00234CB9">
        <w:t>A</w:t>
      </w:r>
      <w:r w:rsidR="00234CB9" w:rsidRPr="00A63BE9">
        <w:t>ssessments prior to undertaking or planning new projects or activities.</w:t>
      </w:r>
    </w:p>
    <w:p w14:paraId="1D85C106" w14:textId="77777777" w:rsidR="00234CB9" w:rsidRPr="00A63BE9" w:rsidRDefault="00234CB9" w:rsidP="00234CB9">
      <w:pPr>
        <w:rPr>
          <w:lang w:eastAsia="en-AU"/>
        </w:rPr>
      </w:pPr>
    </w:p>
    <w:p w14:paraId="2F4ACA4A" w14:textId="77777777" w:rsidR="00234CB9" w:rsidRPr="00A63BE9" w:rsidRDefault="00234CB9" w:rsidP="0037663D">
      <w:pPr>
        <w:pStyle w:val="Heading1"/>
      </w:pPr>
      <w:bookmarkStart w:id="23" w:name="_Toc55982652"/>
      <w:bookmarkStart w:id="24" w:name="_Toc178845009"/>
      <w:r w:rsidRPr="00A63BE9">
        <w:t>Risk Registers</w:t>
      </w:r>
      <w:bookmarkEnd w:id="23"/>
      <w:bookmarkEnd w:id="24"/>
    </w:p>
    <w:p w14:paraId="633F3AD1" w14:textId="147FD392" w:rsidR="00234CB9" w:rsidRPr="00A63BE9" w:rsidRDefault="00234CB9" w:rsidP="0037663D">
      <w:pPr>
        <w:pStyle w:val="ClauseA"/>
      </w:pPr>
      <w:r w:rsidRPr="00A63BE9">
        <w:t xml:space="preserve">Executive </w:t>
      </w:r>
      <w:r>
        <w:t xml:space="preserve">Members </w:t>
      </w:r>
      <w:r w:rsidRPr="00A63BE9">
        <w:t>must establish a Strategic Risk Register for the University as a whole.</w:t>
      </w:r>
    </w:p>
    <w:p w14:paraId="0BC05E23" w14:textId="063EE11D" w:rsidR="00234CB9" w:rsidRPr="00A63BE9" w:rsidRDefault="00234CB9" w:rsidP="0037663D">
      <w:pPr>
        <w:pStyle w:val="ClauseA"/>
      </w:pPr>
      <w:r w:rsidRPr="00A63BE9">
        <w:t xml:space="preserve">The Strategic Risk Register must document key </w:t>
      </w:r>
      <w:r>
        <w:t>Risks</w:t>
      </w:r>
      <w:r w:rsidRPr="00A63BE9">
        <w:t xml:space="preserve"> that </w:t>
      </w:r>
      <w:r w:rsidR="0064609E">
        <w:t>could</w:t>
      </w:r>
      <w:r w:rsidRPr="00A63BE9">
        <w:t xml:space="preserve"> </w:t>
      </w:r>
      <w:r>
        <w:t>impact</w:t>
      </w:r>
      <w:r w:rsidRPr="00A63BE9">
        <w:t xml:space="preserve"> the University</w:t>
      </w:r>
      <w:r>
        <w:t>’s ability to achieve its strategic objectives</w:t>
      </w:r>
      <w:r w:rsidRPr="00A63BE9">
        <w:t>, in accordance with the Risk Management Framework.</w:t>
      </w:r>
    </w:p>
    <w:p w14:paraId="6DE82201" w14:textId="52A90E13" w:rsidR="00234CB9" w:rsidRPr="00A63BE9" w:rsidRDefault="00AE7D00" w:rsidP="0037663D">
      <w:pPr>
        <w:pStyle w:val="ClauseA"/>
      </w:pPr>
      <w:r>
        <w:t xml:space="preserve">The Chief Risk Officer </w:t>
      </w:r>
      <w:r w:rsidR="00234CB9" w:rsidRPr="00A63BE9">
        <w:t>will maintain the University Strategic Risk Register on behalf of the Executive.</w:t>
      </w:r>
    </w:p>
    <w:p w14:paraId="7D6D7087" w14:textId="73A6AEFA" w:rsidR="00234CB9" w:rsidRDefault="00234CB9" w:rsidP="0037663D">
      <w:pPr>
        <w:pStyle w:val="ClauseA"/>
      </w:pPr>
      <w:r w:rsidRPr="00A63BE9">
        <w:t xml:space="preserve">The following must also establish </w:t>
      </w:r>
      <w:r w:rsidR="001D37A0">
        <w:t>l</w:t>
      </w:r>
      <w:r w:rsidRPr="00A63BE9">
        <w:t xml:space="preserve">ocal </w:t>
      </w:r>
      <w:r>
        <w:t>R</w:t>
      </w:r>
      <w:r w:rsidRPr="00A63BE9">
        <w:t xml:space="preserve">isk </w:t>
      </w:r>
      <w:r w:rsidR="001D37A0">
        <w:t>r</w:t>
      </w:r>
      <w:r w:rsidRPr="00A63BE9">
        <w:t>egisters</w:t>
      </w:r>
      <w:r>
        <w:t xml:space="preserve"> —</w:t>
      </w:r>
    </w:p>
    <w:p w14:paraId="6A82E819" w14:textId="2CC7948B" w:rsidR="00234CB9" w:rsidRPr="00A63BE9" w:rsidRDefault="001D37A0" w:rsidP="00180F9C">
      <w:pPr>
        <w:pStyle w:val="Clause1"/>
      </w:pPr>
      <w:r>
        <w:t xml:space="preserve">heads of </w:t>
      </w:r>
      <w:r w:rsidR="00234CB9" w:rsidRPr="006D51E7">
        <w:t>Business Unit</w:t>
      </w:r>
      <w:r>
        <w:t>s</w:t>
      </w:r>
      <w:r w:rsidR="00234CB9" w:rsidRPr="006D51E7">
        <w:t xml:space="preserve">, in relation </w:t>
      </w:r>
      <w:r w:rsidR="00234CB9" w:rsidRPr="00A63BE9">
        <w:t>to th</w:t>
      </w:r>
      <w:r>
        <w:t>eir Bu</w:t>
      </w:r>
      <w:r w:rsidR="00A92D3D">
        <w:t>siness Un</w:t>
      </w:r>
      <w:r w:rsidR="00234CB9" w:rsidRPr="00A63BE9">
        <w:t>it; and</w:t>
      </w:r>
    </w:p>
    <w:p w14:paraId="3B0EE711" w14:textId="7DB50AC3" w:rsidR="00234CB9" w:rsidRDefault="00A92D3D" w:rsidP="00180F9C">
      <w:pPr>
        <w:pStyle w:val="Clause1"/>
      </w:pPr>
      <w:r>
        <w:t>s</w:t>
      </w:r>
      <w:r w:rsidR="00234CB9" w:rsidRPr="00A63BE9">
        <w:t>ponsor</w:t>
      </w:r>
      <w:r>
        <w:t>s</w:t>
      </w:r>
      <w:r w:rsidR="00234CB9">
        <w:t xml:space="preserve"> or project manager</w:t>
      </w:r>
      <w:r>
        <w:t>s</w:t>
      </w:r>
      <w:r w:rsidR="00234CB9" w:rsidRPr="00A63BE9">
        <w:t xml:space="preserve">, in relation to </w:t>
      </w:r>
      <w:r>
        <w:t xml:space="preserve">their </w:t>
      </w:r>
      <w:r w:rsidR="00234CB9" w:rsidRPr="00A63BE9">
        <w:t>strategic projects and major initiatives.</w:t>
      </w:r>
    </w:p>
    <w:p w14:paraId="45C344CD" w14:textId="77777777" w:rsidR="00234CB9" w:rsidRPr="00135D10" w:rsidRDefault="00234CB9" w:rsidP="00234CB9"/>
    <w:p w14:paraId="6F334D34" w14:textId="77777777" w:rsidR="00234CB9" w:rsidRPr="00A63BE9" w:rsidRDefault="00234CB9" w:rsidP="0037663D">
      <w:pPr>
        <w:pStyle w:val="Heading1"/>
      </w:pPr>
      <w:bookmarkStart w:id="25" w:name="_Toc55982653"/>
      <w:bookmarkStart w:id="26" w:name="_Toc178845010"/>
      <w:r w:rsidRPr="00A63BE9">
        <w:lastRenderedPageBreak/>
        <w:t>Reporting</w:t>
      </w:r>
      <w:bookmarkEnd w:id="25"/>
      <w:bookmarkEnd w:id="26"/>
    </w:p>
    <w:p w14:paraId="194DAE2F" w14:textId="3A8DD6C1" w:rsidR="00554CDE" w:rsidRDefault="00554CDE" w:rsidP="0037663D">
      <w:pPr>
        <w:pStyle w:val="ClauseA"/>
      </w:pPr>
      <w:r>
        <w:t xml:space="preserve">All University Officers </w:t>
      </w:r>
      <w:r w:rsidRPr="00554CDE">
        <w:t>must report Risks in accordance with the Risk Management Framework. Reporting obligations are articulated in the Risk Matrix and Risk Management Guidelines.</w:t>
      </w:r>
    </w:p>
    <w:p w14:paraId="26FDDFC7" w14:textId="3428B8FE" w:rsidR="00234CB9" w:rsidRDefault="00234CB9" w:rsidP="0037663D">
      <w:pPr>
        <w:pStyle w:val="ClauseA"/>
      </w:pPr>
      <w:r>
        <w:t>Failure to meet obligations imposed by legislation (including breaches and near misses) must be reported in accordance with the Compliance Management Guideline</w:t>
      </w:r>
      <w:r w:rsidR="00167DB0">
        <w:t>s</w:t>
      </w:r>
      <w:r>
        <w:t>.</w:t>
      </w:r>
    </w:p>
    <w:p w14:paraId="747EAD8E" w14:textId="77777777" w:rsidR="00234CB9" w:rsidRPr="00234CB9" w:rsidRDefault="00234CB9" w:rsidP="00234CB9">
      <w:pPr>
        <w:rPr>
          <w:lang w:eastAsia="en-AU"/>
        </w:rPr>
      </w:pPr>
    </w:p>
    <w:p w14:paraId="3AD51FBD" w14:textId="77777777" w:rsidR="00234CB9" w:rsidRPr="00A63BE9" w:rsidRDefault="00234CB9" w:rsidP="0037663D">
      <w:pPr>
        <w:pStyle w:val="Heading1"/>
      </w:pPr>
      <w:bookmarkStart w:id="27" w:name="_Toc55982654"/>
      <w:bookmarkStart w:id="28" w:name="_Toc178845011"/>
      <w:r w:rsidRPr="00A63BE9">
        <w:t>Risk Delegations</w:t>
      </w:r>
      <w:bookmarkEnd w:id="27"/>
      <w:bookmarkEnd w:id="28"/>
    </w:p>
    <w:p w14:paraId="1D2F78F1" w14:textId="4DB13352" w:rsidR="00234CB9" w:rsidRPr="00A63BE9" w:rsidRDefault="00234CB9" w:rsidP="0037663D">
      <w:pPr>
        <w:pStyle w:val="ClauseA"/>
      </w:pPr>
      <w:r w:rsidRPr="00A63BE9">
        <w:t xml:space="preserve">Senate </w:t>
      </w:r>
      <w:r>
        <w:t>will be</w:t>
      </w:r>
      <w:r w:rsidRPr="00A63BE9">
        <w:t xml:space="preserve"> accountable for the oversight of </w:t>
      </w:r>
      <w:r>
        <w:t>Risk m</w:t>
      </w:r>
      <w:r w:rsidRPr="00A63BE9">
        <w:t xml:space="preserve">anagement at the University. </w:t>
      </w:r>
      <w:r>
        <w:t>Senate</w:t>
      </w:r>
      <w:r w:rsidRPr="00A63BE9">
        <w:t xml:space="preserve"> must demonstrate, and assure itself, that the University is operating effectively and sustainably through —</w:t>
      </w:r>
    </w:p>
    <w:p w14:paraId="413F82E1" w14:textId="2027395B" w:rsidR="00234CB9" w:rsidRPr="00234CB9" w:rsidRDefault="00234CB9" w:rsidP="00180F9C">
      <w:pPr>
        <w:pStyle w:val="Clause1"/>
      </w:pPr>
      <w:r w:rsidRPr="00234CB9">
        <w:t xml:space="preserve">establishing and managing effective safeguards and controls, including but not limited to independent auditing; </w:t>
      </w:r>
    </w:p>
    <w:p w14:paraId="3C8CB699" w14:textId="77777777" w:rsidR="00234CB9" w:rsidRPr="00234CB9" w:rsidRDefault="00234CB9" w:rsidP="00180F9C">
      <w:pPr>
        <w:pStyle w:val="Clause1"/>
      </w:pPr>
      <w:r w:rsidRPr="00234CB9">
        <w:t>considering and responding to reports about the University’s Risks and their management;</w:t>
      </w:r>
    </w:p>
    <w:p w14:paraId="7D45E2A5" w14:textId="77777777" w:rsidR="00234CB9" w:rsidRPr="00234CB9" w:rsidRDefault="00234CB9" w:rsidP="00180F9C">
      <w:pPr>
        <w:pStyle w:val="Clause1"/>
      </w:pPr>
      <w:r w:rsidRPr="00234CB9">
        <w:t>resourcing an Audit and Risk Committee; and</w:t>
      </w:r>
    </w:p>
    <w:p w14:paraId="7D14D6B0" w14:textId="77777777" w:rsidR="00234CB9" w:rsidRPr="00234CB9" w:rsidRDefault="00234CB9" w:rsidP="00180F9C">
      <w:pPr>
        <w:pStyle w:val="Clause1"/>
      </w:pPr>
      <w:r w:rsidRPr="00234CB9">
        <w:t xml:space="preserve">approving the Risk Appetite and tolerance levels for the University. </w:t>
      </w:r>
    </w:p>
    <w:p w14:paraId="237D1CCB" w14:textId="36536CC0" w:rsidR="00234CB9" w:rsidRPr="00A63BE9" w:rsidRDefault="00234CB9" w:rsidP="0037663D">
      <w:pPr>
        <w:pStyle w:val="ClauseA"/>
      </w:pPr>
      <w:r w:rsidRPr="00A63BE9">
        <w:t xml:space="preserve">The Audit and Risk Committee </w:t>
      </w:r>
      <w:r>
        <w:t>will be</w:t>
      </w:r>
      <w:r w:rsidRPr="00A63BE9">
        <w:t xml:space="preserve"> responsible for</w:t>
      </w:r>
      <w:r>
        <w:t xml:space="preserve"> —</w:t>
      </w:r>
    </w:p>
    <w:p w14:paraId="57E2EC1A" w14:textId="77777777" w:rsidR="00046F34" w:rsidRDefault="00234CB9" w:rsidP="0018636E">
      <w:pPr>
        <w:pStyle w:val="Clause1"/>
      </w:pPr>
      <w:r w:rsidRPr="00234CB9">
        <w:t xml:space="preserve">monitoring the </w:t>
      </w:r>
      <w:r w:rsidRPr="0018636E">
        <w:t>application</w:t>
      </w:r>
      <w:r w:rsidRPr="00234CB9">
        <w:t xml:space="preserve"> of the Risk Management Framework; and</w:t>
      </w:r>
    </w:p>
    <w:p w14:paraId="1505F017" w14:textId="1C6A1884" w:rsidR="0028081D" w:rsidRDefault="00234CB9" w:rsidP="0018636E">
      <w:pPr>
        <w:pStyle w:val="Clause1"/>
      </w:pPr>
      <w:r w:rsidRPr="00234CB9">
        <w:t>considering and responding to reports about the University’s Risks and their management.</w:t>
      </w:r>
    </w:p>
    <w:p w14:paraId="01BFB88C" w14:textId="77777777" w:rsidR="00234CB9" w:rsidRPr="00A63BE9" w:rsidRDefault="00234CB9" w:rsidP="0037663D">
      <w:pPr>
        <w:pStyle w:val="ClauseA"/>
      </w:pPr>
      <w:r w:rsidRPr="00234CB9">
        <w:t>The</w:t>
      </w:r>
      <w:r w:rsidRPr="00A63BE9">
        <w:t xml:space="preserve"> Executive </w:t>
      </w:r>
      <w:r>
        <w:t>Members will be</w:t>
      </w:r>
      <w:r w:rsidRPr="00A63BE9">
        <w:t xml:space="preserve"> responsible for</w:t>
      </w:r>
      <w:r>
        <w:t xml:space="preserve"> —</w:t>
      </w:r>
    </w:p>
    <w:p w14:paraId="331791A7" w14:textId="6AE9DB00" w:rsidR="00234CB9" w:rsidRPr="00A63BE9" w:rsidRDefault="00234CB9" w:rsidP="00180F9C">
      <w:pPr>
        <w:pStyle w:val="Clause1"/>
      </w:pPr>
      <w:r w:rsidRPr="00A63BE9">
        <w:t xml:space="preserve">maintaining oversight of the University’s </w:t>
      </w:r>
      <w:r>
        <w:t>R</w:t>
      </w:r>
      <w:r w:rsidRPr="00A63BE9">
        <w:t>isk</w:t>
      </w:r>
      <w:r>
        <w:t>s</w:t>
      </w:r>
      <w:r w:rsidRPr="00A63BE9">
        <w:t xml:space="preserve"> (including ownership of </w:t>
      </w:r>
      <w:r>
        <w:t>S</w:t>
      </w:r>
      <w:r w:rsidRPr="00A63BE9">
        <w:t xml:space="preserve">trategic </w:t>
      </w:r>
      <w:r>
        <w:t>R</w:t>
      </w:r>
      <w:r w:rsidRPr="00A63BE9">
        <w:t>isks) and advising the Vice</w:t>
      </w:r>
      <w:r w:rsidR="004B1362">
        <w:t>-</w:t>
      </w:r>
      <w:r w:rsidRPr="00A63BE9">
        <w:t xml:space="preserve">Chancellor and Senate in relation to </w:t>
      </w:r>
      <w:r>
        <w:t>R</w:t>
      </w:r>
      <w:r w:rsidRPr="00A63BE9">
        <w:t xml:space="preserve">isks of strategic and operational significance, including new and emerging </w:t>
      </w:r>
      <w:r>
        <w:t>R</w:t>
      </w:r>
      <w:r w:rsidRPr="00A63BE9">
        <w:t xml:space="preserve">isks; </w:t>
      </w:r>
    </w:p>
    <w:p w14:paraId="2A3B8663" w14:textId="77777777" w:rsidR="00234CB9" w:rsidRPr="00A63BE9" w:rsidRDefault="00234CB9" w:rsidP="00180F9C">
      <w:pPr>
        <w:pStyle w:val="Clause1"/>
      </w:pPr>
      <w:r w:rsidRPr="00A63BE9">
        <w:t xml:space="preserve">considering and responding to reports about University’s </w:t>
      </w:r>
      <w:r>
        <w:t>R</w:t>
      </w:r>
      <w:r w:rsidRPr="00A63BE9">
        <w:t>isks and their management;</w:t>
      </w:r>
    </w:p>
    <w:p w14:paraId="489F442E" w14:textId="77777777" w:rsidR="00234CB9" w:rsidRPr="00A63BE9" w:rsidRDefault="00234CB9" w:rsidP="00180F9C">
      <w:pPr>
        <w:pStyle w:val="Clause1"/>
      </w:pPr>
      <w:r w:rsidRPr="00A63BE9">
        <w:t xml:space="preserve">promoting a positive </w:t>
      </w:r>
      <w:r>
        <w:t>and effective R</w:t>
      </w:r>
      <w:r w:rsidRPr="00A63BE9">
        <w:t>isk culture across the University; and</w:t>
      </w:r>
    </w:p>
    <w:p w14:paraId="210765BD" w14:textId="77777777" w:rsidR="00234CB9" w:rsidRPr="001F1BA6" w:rsidRDefault="00234CB9" w:rsidP="00180F9C">
      <w:pPr>
        <w:pStyle w:val="Clause1"/>
        <w:rPr>
          <w:color w:val="auto"/>
        </w:rPr>
      </w:pPr>
      <w:r w:rsidRPr="001F1BA6">
        <w:rPr>
          <w:color w:val="auto"/>
        </w:rPr>
        <w:t>overseeing the allocation of resources to enable effective Risk management.</w:t>
      </w:r>
    </w:p>
    <w:p w14:paraId="50DD05B7" w14:textId="77777777" w:rsidR="00C127DE" w:rsidRPr="001F1BA6" w:rsidRDefault="00C127DE" w:rsidP="00C127DE">
      <w:pPr>
        <w:pStyle w:val="ClauseA"/>
        <w:rPr>
          <w:color w:val="auto"/>
        </w:rPr>
      </w:pPr>
      <w:r w:rsidRPr="001F1BA6">
        <w:rPr>
          <w:color w:val="auto"/>
        </w:rPr>
        <w:t>The Executive Safety and Risk Management Committee will be responsible for —</w:t>
      </w:r>
    </w:p>
    <w:p w14:paraId="4A3112F9" w14:textId="77777777" w:rsidR="00C127DE" w:rsidRPr="001F1BA6" w:rsidRDefault="00C127DE" w:rsidP="00C127DE">
      <w:pPr>
        <w:pStyle w:val="Clause1"/>
        <w:rPr>
          <w:color w:val="auto"/>
        </w:rPr>
      </w:pPr>
      <w:r w:rsidRPr="001F1BA6">
        <w:rPr>
          <w:color w:val="auto"/>
        </w:rPr>
        <w:t>Assisting the Executive to fulfill their responsibilities for overseeing the University’s risk management framework.</w:t>
      </w:r>
    </w:p>
    <w:p w14:paraId="57B1BDF6" w14:textId="77777777" w:rsidR="00C127DE" w:rsidRPr="001F1BA6" w:rsidRDefault="00C127DE" w:rsidP="00C127DE">
      <w:pPr>
        <w:pStyle w:val="ClauseA"/>
        <w:rPr>
          <w:color w:val="auto"/>
        </w:rPr>
      </w:pPr>
      <w:r w:rsidRPr="001F1BA6">
        <w:rPr>
          <w:color w:val="auto"/>
        </w:rPr>
        <w:t xml:space="preserve">The Chief Risk Officer (Second Line) will be responsible for developing and managing the Risk Management Framework, which includes the provision of tools, guidance and support to promote the effective management of risks, including Business Continuity. </w:t>
      </w:r>
    </w:p>
    <w:p w14:paraId="0462AF48" w14:textId="2EFFBFE1" w:rsidR="006C2778" w:rsidRPr="00A63BE9" w:rsidRDefault="006C2778" w:rsidP="002B4420">
      <w:pPr>
        <w:pStyle w:val="ClauseA"/>
      </w:pPr>
      <w:r w:rsidRPr="002B4420">
        <w:rPr>
          <w:color w:val="auto"/>
        </w:rPr>
        <w:t xml:space="preserve">Heads of </w:t>
      </w:r>
      <w:r w:rsidRPr="006D51E7">
        <w:t xml:space="preserve">Business Units </w:t>
      </w:r>
      <w:r>
        <w:t>will be</w:t>
      </w:r>
      <w:r w:rsidRPr="00A63BE9">
        <w:t xml:space="preserve"> responsible for</w:t>
      </w:r>
      <w:r>
        <w:t xml:space="preserve"> —</w:t>
      </w:r>
    </w:p>
    <w:p w14:paraId="58EB016C" w14:textId="77777777" w:rsidR="006C2778" w:rsidRPr="00A63BE9" w:rsidRDefault="006C2778" w:rsidP="006C2778">
      <w:pPr>
        <w:pStyle w:val="Clause1"/>
      </w:pPr>
      <w:r w:rsidRPr="00A63BE9">
        <w:lastRenderedPageBreak/>
        <w:t xml:space="preserve">identifying, evaluating and managing </w:t>
      </w:r>
      <w:r>
        <w:t>R</w:t>
      </w:r>
      <w:r w:rsidRPr="00A63BE9">
        <w:t xml:space="preserve">isks to the achievement of the University's strategic objectives where such </w:t>
      </w:r>
      <w:r>
        <w:t>R</w:t>
      </w:r>
      <w:r w:rsidRPr="00A63BE9">
        <w:t>isks are relevant to the Business Unit operations;</w:t>
      </w:r>
    </w:p>
    <w:p w14:paraId="4AA262C7" w14:textId="77777777" w:rsidR="006C2778" w:rsidRPr="00A63BE9" w:rsidRDefault="006C2778" w:rsidP="006C2778">
      <w:pPr>
        <w:pStyle w:val="Clause1"/>
      </w:pPr>
      <w:r w:rsidRPr="00A63BE9">
        <w:t xml:space="preserve">identifying, evaluating and managing </w:t>
      </w:r>
      <w:r>
        <w:t>R</w:t>
      </w:r>
      <w:r w:rsidRPr="00A63BE9">
        <w:t xml:space="preserve">isks to the achievement of the Business Unit’s own operational objectives; </w:t>
      </w:r>
    </w:p>
    <w:p w14:paraId="52B43E44" w14:textId="77777777" w:rsidR="006C2778" w:rsidRPr="00A63BE9" w:rsidRDefault="006C2778" w:rsidP="006C2778">
      <w:pPr>
        <w:pStyle w:val="Clause1"/>
      </w:pPr>
      <w:r w:rsidRPr="00A63BE9">
        <w:t xml:space="preserve">monitoring the effectiveness of </w:t>
      </w:r>
      <w:r>
        <w:t>R</w:t>
      </w:r>
      <w:r w:rsidRPr="00A63BE9">
        <w:t>isk control measures;</w:t>
      </w:r>
    </w:p>
    <w:p w14:paraId="67C5859A" w14:textId="77777777" w:rsidR="006C2778" w:rsidRPr="00A63BE9" w:rsidRDefault="006C2778" w:rsidP="006C2778">
      <w:pPr>
        <w:pStyle w:val="Clause1"/>
      </w:pPr>
      <w:r w:rsidRPr="00A63BE9">
        <w:t xml:space="preserve">assigning an owner to each </w:t>
      </w:r>
      <w:r>
        <w:t>Ri</w:t>
      </w:r>
      <w:r w:rsidRPr="00A63BE9">
        <w:t xml:space="preserve">sk listed in their local </w:t>
      </w:r>
      <w:r>
        <w:t>R</w:t>
      </w:r>
      <w:r w:rsidRPr="00A63BE9">
        <w:t xml:space="preserve">isk </w:t>
      </w:r>
      <w:r>
        <w:t>R</w:t>
      </w:r>
      <w:r w:rsidRPr="00A63BE9">
        <w:t>egister; and</w:t>
      </w:r>
    </w:p>
    <w:p w14:paraId="1FA3490D" w14:textId="77777777" w:rsidR="006C2778" w:rsidRDefault="006C2778" w:rsidP="006C2778">
      <w:pPr>
        <w:pStyle w:val="Clause1"/>
      </w:pPr>
      <w:r w:rsidRPr="00A63BE9">
        <w:t xml:space="preserve">reporting and escalating identified </w:t>
      </w:r>
      <w:r>
        <w:t>R</w:t>
      </w:r>
      <w:r w:rsidRPr="00A63BE9">
        <w:t>isks in accordance with the Risk Management Framework.</w:t>
      </w:r>
    </w:p>
    <w:p w14:paraId="563644F9" w14:textId="52DB23AD" w:rsidR="006C2778" w:rsidRPr="00730DD1" w:rsidRDefault="006C2778" w:rsidP="00E3533F">
      <w:pPr>
        <w:pStyle w:val="ClauseA"/>
      </w:pPr>
      <w:r w:rsidRPr="002B4420">
        <w:rPr>
          <w:color w:val="auto"/>
        </w:rPr>
        <w:t>Risk</w:t>
      </w:r>
      <w:r w:rsidRPr="00730DD1">
        <w:t xml:space="preserve"> Owners </w:t>
      </w:r>
      <w:r w:rsidRPr="00E63E03">
        <w:t>will</w:t>
      </w:r>
      <w:r w:rsidRPr="00730DD1">
        <w:t xml:space="preserve"> be responsible for —</w:t>
      </w:r>
    </w:p>
    <w:p w14:paraId="7B00E8B5" w14:textId="77777777" w:rsidR="006C2778" w:rsidRPr="00D26A7E" w:rsidRDefault="006C2778" w:rsidP="006C2778">
      <w:pPr>
        <w:pStyle w:val="Clause1"/>
      </w:pPr>
      <w:r w:rsidRPr="00D26A7E">
        <w:t>considering the Risks assigned to them;</w:t>
      </w:r>
    </w:p>
    <w:p w14:paraId="6CEC694D" w14:textId="77777777" w:rsidR="006C2778" w:rsidRPr="00D26A7E" w:rsidRDefault="006C2778" w:rsidP="006C2778">
      <w:pPr>
        <w:pStyle w:val="Clause1"/>
      </w:pPr>
      <w:r w:rsidRPr="00D26A7E">
        <w:t>devising and implementing appropriate Risk management plans to manage Risk in accordance with the Risk Management Framework; and</w:t>
      </w:r>
    </w:p>
    <w:p w14:paraId="4490B16C" w14:textId="77777777" w:rsidR="006C2778" w:rsidRPr="00D26A7E" w:rsidRDefault="006C2778" w:rsidP="006C2778">
      <w:pPr>
        <w:pStyle w:val="Clause1"/>
      </w:pPr>
      <w:r w:rsidRPr="00D26A7E">
        <w:t>reporting and escalating identified Risks in accordance with the Risk Management Framework.</w:t>
      </w:r>
    </w:p>
    <w:p w14:paraId="71AACFAC" w14:textId="1816F5D2" w:rsidR="00234CB9" w:rsidRPr="00A63BE9" w:rsidRDefault="00552876" w:rsidP="00E3533F">
      <w:pPr>
        <w:pStyle w:val="ClauseA"/>
      </w:pPr>
      <w:r>
        <w:rPr>
          <w:color w:val="auto"/>
        </w:rPr>
        <w:t xml:space="preserve">All </w:t>
      </w:r>
      <w:r w:rsidR="003229B9">
        <w:rPr>
          <w:color w:val="auto"/>
        </w:rPr>
        <w:t>University Officers</w:t>
      </w:r>
      <w:r>
        <w:rPr>
          <w:color w:val="auto"/>
        </w:rPr>
        <w:t xml:space="preserve"> </w:t>
      </w:r>
      <w:r w:rsidR="00234CB9">
        <w:t>h</w:t>
      </w:r>
      <w:r w:rsidR="00234CB9" w:rsidRPr="00A63BE9">
        <w:t xml:space="preserve">ave a role in the effective management of </w:t>
      </w:r>
      <w:r w:rsidR="00234CB9">
        <w:t>R</w:t>
      </w:r>
      <w:r w:rsidR="00234CB9" w:rsidRPr="00A63BE9">
        <w:t xml:space="preserve">isk across the University and </w:t>
      </w:r>
      <w:r w:rsidR="00234CB9">
        <w:t>will be</w:t>
      </w:r>
      <w:r w:rsidR="00234CB9" w:rsidRPr="00A63BE9">
        <w:t xml:space="preserve"> responsible for</w:t>
      </w:r>
      <w:r w:rsidR="00234CB9">
        <w:t xml:space="preserve"> —</w:t>
      </w:r>
    </w:p>
    <w:p w14:paraId="40EDEB9A" w14:textId="77777777" w:rsidR="00234CB9" w:rsidRPr="00A63BE9" w:rsidRDefault="00234CB9" w:rsidP="00180F9C">
      <w:pPr>
        <w:pStyle w:val="Clause1"/>
      </w:pPr>
      <w:r w:rsidRPr="00A63BE9">
        <w:t xml:space="preserve">identifying and familiarising themselves with </w:t>
      </w:r>
      <w:r>
        <w:t>Risk</w:t>
      </w:r>
      <w:r w:rsidRPr="00A63BE9">
        <w:t>s associated with their role; and</w:t>
      </w:r>
    </w:p>
    <w:p w14:paraId="02743F00" w14:textId="77777777" w:rsidR="00234CB9" w:rsidRDefault="00234CB9" w:rsidP="00180F9C">
      <w:pPr>
        <w:pStyle w:val="Clause1"/>
      </w:pPr>
      <w:r w:rsidRPr="00A63BE9">
        <w:t xml:space="preserve">assessing and managing </w:t>
      </w:r>
      <w:r>
        <w:t>Risk</w:t>
      </w:r>
      <w:r w:rsidRPr="00A63BE9">
        <w:t>s consistently in accordance with this policy and the Risk Management Framework.</w:t>
      </w:r>
    </w:p>
    <w:p w14:paraId="7CEFBBF3" w14:textId="7A80301B" w:rsidR="00133A69" w:rsidRDefault="00216B06" w:rsidP="002B4420">
      <w:pPr>
        <w:pStyle w:val="ClauseA"/>
      </w:pPr>
      <w:r w:rsidRPr="002B4420">
        <w:rPr>
          <w:color w:val="auto"/>
        </w:rPr>
        <w:t>Students</w:t>
      </w:r>
      <w:r w:rsidRPr="00216B06">
        <w:t xml:space="preserve"> </w:t>
      </w:r>
      <w:r w:rsidR="00972B3A" w:rsidRPr="00216B06">
        <w:t xml:space="preserve"> must</w:t>
      </w:r>
      <w:r w:rsidRPr="00216B06">
        <w:t xml:space="preserve"> support </w:t>
      </w:r>
      <w:r w:rsidR="00133A69">
        <w:t>R</w:t>
      </w:r>
      <w:r w:rsidRPr="00216B06">
        <w:t>isk management at the University by considering risk as part of their daily activities and supporting relevant risk management initiatives and processes.</w:t>
      </w:r>
      <w:bookmarkStart w:id="29" w:name="_Toc178845012"/>
    </w:p>
    <w:p w14:paraId="6B9EDADC" w14:textId="77777777" w:rsidR="00133A69" w:rsidRDefault="00133A69" w:rsidP="00133A69"/>
    <w:bookmarkEnd w:id="29"/>
    <w:p w14:paraId="0DB580B0" w14:textId="77777777" w:rsidR="00FD7C31" w:rsidRPr="002B4420" w:rsidRDefault="00FD7C31" w:rsidP="00FD7C31">
      <w:pPr>
        <w:pStyle w:val="Heading1"/>
      </w:pPr>
      <w:r w:rsidRPr="002B4420">
        <w:t xml:space="preserve">Business Continuity Management </w:t>
      </w:r>
    </w:p>
    <w:p w14:paraId="07169058" w14:textId="77777777" w:rsidR="00FD7C31" w:rsidRPr="002B4420" w:rsidRDefault="00FD7C31" w:rsidP="002B4420">
      <w:pPr>
        <w:pStyle w:val="ClauseA"/>
        <w:rPr>
          <w:color w:val="auto"/>
        </w:rPr>
      </w:pPr>
      <w:r w:rsidRPr="002B4420">
        <w:rPr>
          <w:color w:val="auto"/>
        </w:rPr>
        <w:t xml:space="preserve">Business Continuity Management is the capability of an organisation to manage its response to and continue the delivery of products and services following a disruptive event.  </w:t>
      </w:r>
    </w:p>
    <w:p w14:paraId="07AC407C" w14:textId="77777777" w:rsidR="00FD7C31" w:rsidRPr="002B4420" w:rsidRDefault="00FD7C31" w:rsidP="00FD7C31">
      <w:pPr>
        <w:pStyle w:val="Heading4"/>
        <w:rPr>
          <w:color w:val="auto"/>
        </w:rPr>
      </w:pPr>
      <w:r w:rsidRPr="002B4420">
        <w:rPr>
          <w:color w:val="auto"/>
        </w:rPr>
        <w:t>The University will manage the University’s Business Continuity Management System in accordance with ISO 22301:2022, Security and Resilience – Business Continuity Management Systems – Requirements.</w:t>
      </w:r>
    </w:p>
    <w:p w14:paraId="7F211349" w14:textId="77777777" w:rsidR="00B936C4" w:rsidRDefault="00B936C4" w:rsidP="00713889"/>
    <w:p w14:paraId="326C5EA7" w14:textId="77777777" w:rsidR="00713889" w:rsidRDefault="00713889" w:rsidP="00713889"/>
    <w:p w14:paraId="74716478" w14:textId="10C560D9" w:rsidR="00234CB9" w:rsidRDefault="00234CB9" w:rsidP="00713889">
      <w:pPr>
        <w:pStyle w:val="End"/>
      </w:pPr>
      <w:r w:rsidRPr="008552C5">
        <w:t>Definitions</w:t>
      </w:r>
    </w:p>
    <w:p w14:paraId="3D2835CC" w14:textId="77777777" w:rsidR="00234CB9" w:rsidRPr="008552C5" w:rsidRDefault="00234CB9" w:rsidP="00234CB9"/>
    <w:p w14:paraId="4AA4A3A8" w14:textId="77777777" w:rsidR="00234CB9" w:rsidRPr="001F1BA6" w:rsidRDefault="00234CB9" w:rsidP="00234CB9">
      <w:pPr>
        <w:rPr>
          <w:color w:val="auto"/>
          <w:lang w:eastAsia="en-AU"/>
        </w:rPr>
      </w:pPr>
      <w:r w:rsidRPr="001F1BA6">
        <w:rPr>
          <w:b/>
          <w:color w:val="auto"/>
          <w:lang w:eastAsia="en-AU"/>
        </w:rPr>
        <w:t xml:space="preserve">Business Unit </w:t>
      </w:r>
      <w:r w:rsidRPr="001F1BA6">
        <w:rPr>
          <w:color w:val="auto"/>
          <w:lang w:eastAsia="en-AU"/>
        </w:rPr>
        <w:t>is defined in the Policy Framework.</w:t>
      </w:r>
    </w:p>
    <w:p w14:paraId="0D31AB75" w14:textId="77777777" w:rsidR="0019248B" w:rsidRPr="001F1BA6" w:rsidRDefault="0019248B" w:rsidP="0019248B">
      <w:pPr>
        <w:rPr>
          <w:color w:val="auto"/>
          <w:lang w:eastAsia="en-AU"/>
        </w:rPr>
      </w:pPr>
      <w:r w:rsidRPr="001F1BA6">
        <w:rPr>
          <w:b/>
          <w:bCs/>
          <w:color w:val="auto"/>
          <w:lang w:eastAsia="en-AU"/>
        </w:rPr>
        <w:lastRenderedPageBreak/>
        <w:t>Business Continuity Management</w:t>
      </w:r>
      <w:r w:rsidRPr="001F1BA6">
        <w:rPr>
          <w:color w:val="auto"/>
          <w:lang w:eastAsia="en-AU"/>
        </w:rPr>
        <w:t xml:space="preserve"> is defined in section 12</w:t>
      </w:r>
    </w:p>
    <w:p w14:paraId="292747FD" w14:textId="50FD8224" w:rsidR="00234CB9" w:rsidRPr="00E42BBF" w:rsidRDefault="00234CB9" w:rsidP="00234CB9">
      <w:pPr>
        <w:rPr>
          <w:lang w:eastAsia="en-AU"/>
        </w:rPr>
      </w:pPr>
      <w:r w:rsidRPr="00E26498">
        <w:rPr>
          <w:b/>
        </w:rPr>
        <w:t>Compliance Risk</w:t>
      </w:r>
      <w:r>
        <w:rPr>
          <w:b/>
        </w:rPr>
        <w:t xml:space="preserve"> </w:t>
      </w:r>
      <w:r w:rsidRPr="00E42BBF">
        <w:t>is defined in section 5</w:t>
      </w:r>
    </w:p>
    <w:p w14:paraId="7C52F453" w14:textId="77777777" w:rsidR="00234CB9" w:rsidRDefault="00234CB9" w:rsidP="00234CB9">
      <w:r w:rsidRPr="00EB06A4">
        <w:rPr>
          <w:b/>
        </w:rPr>
        <w:t>Executive Member</w:t>
      </w:r>
      <w:r>
        <w:t xml:space="preserve"> is defined in the Policy Framework Policy.</w:t>
      </w:r>
    </w:p>
    <w:p w14:paraId="15741D93" w14:textId="40734877" w:rsidR="00234CB9" w:rsidRDefault="00234CB9" w:rsidP="00234CB9">
      <w:r w:rsidRPr="00E26498">
        <w:rPr>
          <w:b/>
        </w:rPr>
        <w:t>Operational Risk</w:t>
      </w:r>
      <w:r>
        <w:rPr>
          <w:b/>
        </w:rPr>
        <w:t xml:space="preserve"> </w:t>
      </w:r>
      <w:r w:rsidRPr="00E42BBF">
        <w:t>is defined in section 5</w:t>
      </w:r>
    </w:p>
    <w:p w14:paraId="229F48FA" w14:textId="77777777" w:rsidR="00234CB9" w:rsidRDefault="00234CB9" w:rsidP="00234CB9">
      <w:r>
        <w:rPr>
          <w:b/>
        </w:rPr>
        <w:t>Policy</w:t>
      </w:r>
      <w:r>
        <w:t xml:space="preserve"> is defined in the Policy Framework Policy.</w:t>
      </w:r>
    </w:p>
    <w:p w14:paraId="53BF579D" w14:textId="21AFCD08" w:rsidR="00234CB9" w:rsidRDefault="00234CB9" w:rsidP="00234CB9">
      <w:r w:rsidRPr="00E26498">
        <w:rPr>
          <w:b/>
        </w:rPr>
        <w:t>Project Risk</w:t>
      </w:r>
      <w:r>
        <w:t xml:space="preserve"> is defined in section 5</w:t>
      </w:r>
    </w:p>
    <w:p w14:paraId="6E911619" w14:textId="7059708A" w:rsidR="00234CB9" w:rsidRDefault="00234CB9" w:rsidP="00234CB9">
      <w:r w:rsidRPr="00EB06A4">
        <w:rPr>
          <w:b/>
        </w:rPr>
        <w:t>Risk</w:t>
      </w:r>
      <w:r>
        <w:t xml:space="preserve"> is defined in section 4</w:t>
      </w:r>
    </w:p>
    <w:p w14:paraId="4F09A4C8" w14:textId="323F46A9" w:rsidR="00234CB9" w:rsidRDefault="00234CB9" w:rsidP="00234CB9">
      <w:r w:rsidRPr="00EB06A4">
        <w:rPr>
          <w:b/>
        </w:rPr>
        <w:t>Risk Appetite</w:t>
      </w:r>
      <w:r>
        <w:t xml:space="preserve"> is defined in section 6</w:t>
      </w:r>
    </w:p>
    <w:p w14:paraId="4E0D4E08" w14:textId="0D72AD96" w:rsidR="003F2C56" w:rsidRDefault="003F2C56" w:rsidP="00234CB9">
      <w:r w:rsidRPr="003F2C56">
        <w:rPr>
          <w:b/>
          <w:bCs/>
        </w:rPr>
        <w:t>Risk Assessment</w:t>
      </w:r>
      <w:r>
        <w:t xml:space="preserve"> is defined in section 8</w:t>
      </w:r>
    </w:p>
    <w:p w14:paraId="4003757B" w14:textId="408683DB" w:rsidR="00234CB9" w:rsidRDefault="00234CB9" w:rsidP="00234CB9">
      <w:r w:rsidRPr="00EB06A4">
        <w:rPr>
          <w:b/>
        </w:rPr>
        <w:t>Risk Management Framework</w:t>
      </w:r>
      <w:r>
        <w:t xml:space="preserve"> is defined in section 3</w:t>
      </w:r>
    </w:p>
    <w:p w14:paraId="5FBECDF1" w14:textId="77777777" w:rsidR="00234CB9" w:rsidRDefault="00234CB9" w:rsidP="00234CB9">
      <w:r w:rsidRPr="00EB06A4">
        <w:rPr>
          <w:b/>
        </w:rPr>
        <w:t>Senate</w:t>
      </w:r>
      <w:r>
        <w:t xml:space="preserve"> is defined in the Policy Framework Policy.</w:t>
      </w:r>
    </w:p>
    <w:p w14:paraId="409D1CA2" w14:textId="037D46D3" w:rsidR="00234CB9" w:rsidRPr="00E86FD1" w:rsidRDefault="00234CB9" w:rsidP="00234CB9">
      <w:r w:rsidRPr="00E26498">
        <w:rPr>
          <w:b/>
        </w:rPr>
        <w:t>Strategic Risk</w:t>
      </w:r>
      <w:r>
        <w:rPr>
          <w:b/>
        </w:rPr>
        <w:t xml:space="preserve"> </w:t>
      </w:r>
      <w:r w:rsidRPr="00E42BBF">
        <w:t>is defined in section 5</w:t>
      </w:r>
    </w:p>
    <w:p w14:paraId="6660572E" w14:textId="77777777" w:rsidR="00234CB9" w:rsidRDefault="00234CB9" w:rsidP="00234CB9">
      <w:r w:rsidRPr="00EB06A4">
        <w:rPr>
          <w:b/>
        </w:rPr>
        <w:t>Student</w:t>
      </w:r>
      <w:r>
        <w:t xml:space="preserve"> is defined in the Policy Framework Policy.</w:t>
      </w:r>
    </w:p>
    <w:p w14:paraId="18FD61DF" w14:textId="77777777" w:rsidR="00234CB9" w:rsidRDefault="00234CB9" w:rsidP="00234CB9">
      <w:pPr>
        <w:rPr>
          <w:lang w:eastAsia="en-AU"/>
        </w:rPr>
      </w:pPr>
      <w:r w:rsidRPr="00832F29">
        <w:rPr>
          <w:b/>
        </w:rPr>
        <w:t>University</w:t>
      </w:r>
      <w:r>
        <w:t xml:space="preserve"> </w:t>
      </w:r>
      <w:r>
        <w:rPr>
          <w:lang w:eastAsia="en-AU"/>
        </w:rPr>
        <w:t>is defined in the Policy Framework Policy.</w:t>
      </w:r>
    </w:p>
    <w:p w14:paraId="1045F315" w14:textId="1500AA4B" w:rsidR="00A77E3A" w:rsidRDefault="00A77E3A" w:rsidP="00A77E3A">
      <w:pPr>
        <w:rPr>
          <w:lang w:eastAsia="en-AU"/>
        </w:rPr>
      </w:pPr>
      <w:r w:rsidRPr="0018636E">
        <w:rPr>
          <w:b/>
          <w:bCs/>
          <w:lang w:eastAsia="en-AU"/>
        </w:rPr>
        <w:t>University Officer</w:t>
      </w:r>
      <w:r>
        <w:rPr>
          <w:lang w:eastAsia="en-AU"/>
        </w:rPr>
        <w:t xml:space="preserve"> is defined in the Policy Framework Policy.</w:t>
      </w:r>
    </w:p>
    <w:p w14:paraId="794348E1" w14:textId="668B336F" w:rsidR="00A77E3A" w:rsidRPr="00832F29" w:rsidRDefault="00A77E3A" w:rsidP="00234CB9">
      <w:pPr>
        <w:rPr>
          <w:lang w:eastAsia="en-AU"/>
        </w:rPr>
      </w:pPr>
    </w:p>
    <w:p w14:paraId="6197DF71" w14:textId="77777777" w:rsidR="00234CB9" w:rsidRDefault="00234CB9" w:rsidP="00234CB9"/>
    <w:p w14:paraId="1A63E9DD" w14:textId="77777777" w:rsidR="00234CB9" w:rsidRDefault="00234CB9" w:rsidP="00234CB9"/>
    <w:p w14:paraId="060F87C6" w14:textId="77777777" w:rsidR="00E05796" w:rsidRDefault="00234CB9" w:rsidP="00234CB9">
      <w:pPr>
        <w:pStyle w:val="End"/>
      </w:pPr>
      <w:r w:rsidRPr="007547E8">
        <w:t>End</w:t>
      </w:r>
    </w:p>
    <w:sectPr w:rsidR="00E05796" w:rsidSect="00413131">
      <w:footerReference w:type="defaul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AB15" w14:textId="77777777" w:rsidR="00343E25" w:rsidRDefault="00343E25" w:rsidP="0040732E">
      <w:r>
        <w:separator/>
      </w:r>
    </w:p>
  </w:endnote>
  <w:endnote w:type="continuationSeparator" w:id="0">
    <w:p w14:paraId="7A8ABBA7" w14:textId="77777777" w:rsidR="00343E25" w:rsidRDefault="00343E25" w:rsidP="0040732E">
      <w:r>
        <w:continuationSeparator/>
      </w:r>
    </w:p>
  </w:endnote>
  <w:endnote w:type="continuationNotice" w:id="1">
    <w:p w14:paraId="43B34B35" w14:textId="77777777" w:rsidR="00343E25" w:rsidRDefault="00343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FB96" w14:textId="77777777" w:rsidR="00BF50B7" w:rsidRDefault="00BF50B7">
    <w:pPr>
      <w:pStyle w:val="Footer"/>
      <w:jc w:val="right"/>
    </w:pPr>
  </w:p>
  <w:p w14:paraId="1937982A" w14:textId="77777777" w:rsidR="00BF50B7" w:rsidRDefault="00BF50B7" w:rsidP="00BF50B7">
    <w:pPr>
      <w:pStyle w:val="Footer"/>
    </w:pPr>
    <w:r>
      <w:t>University of Western Australia</w:t>
    </w:r>
  </w:p>
  <w:p w14:paraId="04D5419A" w14:textId="77777777" w:rsidR="00BF50B7" w:rsidRDefault="00BF50B7" w:rsidP="00BF50B7">
    <w:pPr>
      <w:pStyle w:val="Footer"/>
    </w:pPr>
    <w:r>
      <w:t>uwa.edu.au/policy</w:t>
    </w:r>
  </w:p>
  <w:p w14:paraId="04426938" w14:textId="77777777" w:rsidR="00D421B6" w:rsidRPr="003922AB" w:rsidRDefault="00BF50B7" w:rsidP="00BF50B7">
    <w:pPr>
      <w:pStyle w:val="Footer"/>
      <w:jc w:val="right"/>
    </w:pPr>
    <w:r>
      <w:fldChar w:fldCharType="begin"/>
    </w:r>
    <w:r>
      <w:instrText xml:space="preserve"> PAGE   \* MERGEFORMAT </w:instrText>
    </w:r>
    <w:r>
      <w:fldChar w:fldCharType="separate"/>
    </w:r>
    <w:r w:rsidR="00EA17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3BFE" w14:textId="77777777" w:rsidR="00343E25" w:rsidRDefault="00343E25" w:rsidP="0040732E">
      <w:r>
        <w:separator/>
      </w:r>
    </w:p>
  </w:footnote>
  <w:footnote w:type="continuationSeparator" w:id="0">
    <w:p w14:paraId="6EEFBD73" w14:textId="77777777" w:rsidR="00343E25" w:rsidRDefault="00343E25" w:rsidP="0040732E">
      <w:r>
        <w:continuationSeparator/>
      </w:r>
    </w:p>
  </w:footnote>
  <w:footnote w:type="continuationNotice" w:id="1">
    <w:p w14:paraId="0D6C663E" w14:textId="77777777" w:rsidR="00343E25" w:rsidRDefault="00343E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6E9C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80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601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4EC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DC7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49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CB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22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EEE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C42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F0E3A"/>
    <w:multiLevelType w:val="multilevel"/>
    <w:tmpl w:val="E3EC5620"/>
    <w:lvl w:ilvl="0">
      <w:start w:val="1"/>
      <w:numFmt w:val="decimal"/>
      <w:lvlText w:val="%1"/>
      <w:lvlJc w:val="left"/>
      <w:pPr>
        <w:ind w:left="432" w:hanging="432"/>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1">
      <w:start w:val="1"/>
      <w:numFmt w:val="decimal"/>
      <w:lvlText w:val="%1.%2"/>
      <w:lvlJc w:val="left"/>
      <w:pPr>
        <w:ind w:left="576" w:hanging="576"/>
      </w:pPr>
      <w:rPr>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upperLetter"/>
      <w:lvlText w:val="(%4)."/>
      <w:lvlJc w:val="left"/>
      <w:pPr>
        <w:ind w:left="1006" w:hanging="864"/>
      </w:pPr>
    </w:lvl>
    <w:lvl w:ilvl="4">
      <w:start w:val="1"/>
      <w:numFmt w:val="decimal"/>
      <w:lvlText w:val="(%5)"/>
      <w:lvlJc w:val="left"/>
      <w:pPr>
        <w:ind w:left="1069" w:hanging="360"/>
      </w:pPr>
      <w:rPr>
        <w:rFonts w:hint="default"/>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2"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3" w15:restartNumberingAfterBreak="0">
    <w:nsid w:val="16BB282D"/>
    <w:multiLevelType w:val="hybridMultilevel"/>
    <w:tmpl w:val="408451A6"/>
    <w:lvl w:ilvl="0" w:tplc="D912150E">
      <w:start w:val="1"/>
      <w:numFmt w:val="bullet"/>
      <w:lvlText w:val="→"/>
      <w:lvlJc w:val="left"/>
      <w:pPr>
        <w:ind w:left="1211" w:hanging="360"/>
      </w:pPr>
      <w:rPr>
        <w:rFonts w:ascii="Calibri" w:hAnsi="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24E476BF"/>
    <w:multiLevelType w:val="hybridMultilevel"/>
    <w:tmpl w:val="A2F2B11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8C247E6"/>
    <w:multiLevelType w:val="hybridMultilevel"/>
    <w:tmpl w:val="1DFCC662"/>
    <w:lvl w:ilvl="0" w:tplc="305451B2">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FF38CD"/>
    <w:multiLevelType w:val="hybridMultilevel"/>
    <w:tmpl w:val="85162A66"/>
    <w:lvl w:ilvl="0" w:tplc="E63E5DB6">
      <w:start w:val="1"/>
      <w:numFmt w:val="bullet"/>
      <w:lvlText w:val=""/>
      <w:lvlJc w:val="left"/>
      <w:pPr>
        <w:ind w:left="2120" w:hanging="360"/>
      </w:pPr>
      <w:rPr>
        <w:rFonts w:ascii="Symbol" w:hAnsi="Symbol"/>
      </w:rPr>
    </w:lvl>
    <w:lvl w:ilvl="1" w:tplc="649883B2">
      <w:start w:val="1"/>
      <w:numFmt w:val="bullet"/>
      <w:lvlText w:val=""/>
      <w:lvlJc w:val="left"/>
      <w:pPr>
        <w:ind w:left="2120" w:hanging="360"/>
      </w:pPr>
      <w:rPr>
        <w:rFonts w:ascii="Symbol" w:hAnsi="Symbol"/>
      </w:rPr>
    </w:lvl>
    <w:lvl w:ilvl="2" w:tplc="E3D02FB2">
      <w:start w:val="1"/>
      <w:numFmt w:val="bullet"/>
      <w:lvlText w:val=""/>
      <w:lvlJc w:val="left"/>
      <w:pPr>
        <w:ind w:left="2120" w:hanging="360"/>
      </w:pPr>
      <w:rPr>
        <w:rFonts w:ascii="Symbol" w:hAnsi="Symbol"/>
      </w:rPr>
    </w:lvl>
    <w:lvl w:ilvl="3" w:tplc="0888A42A">
      <w:start w:val="1"/>
      <w:numFmt w:val="bullet"/>
      <w:lvlText w:val=""/>
      <w:lvlJc w:val="left"/>
      <w:pPr>
        <w:ind w:left="2120" w:hanging="360"/>
      </w:pPr>
      <w:rPr>
        <w:rFonts w:ascii="Symbol" w:hAnsi="Symbol"/>
      </w:rPr>
    </w:lvl>
    <w:lvl w:ilvl="4" w:tplc="5E0A3A50">
      <w:start w:val="1"/>
      <w:numFmt w:val="bullet"/>
      <w:lvlText w:val=""/>
      <w:lvlJc w:val="left"/>
      <w:pPr>
        <w:ind w:left="2120" w:hanging="360"/>
      </w:pPr>
      <w:rPr>
        <w:rFonts w:ascii="Symbol" w:hAnsi="Symbol"/>
      </w:rPr>
    </w:lvl>
    <w:lvl w:ilvl="5" w:tplc="5C3E184E">
      <w:start w:val="1"/>
      <w:numFmt w:val="bullet"/>
      <w:lvlText w:val=""/>
      <w:lvlJc w:val="left"/>
      <w:pPr>
        <w:ind w:left="2120" w:hanging="360"/>
      </w:pPr>
      <w:rPr>
        <w:rFonts w:ascii="Symbol" w:hAnsi="Symbol"/>
      </w:rPr>
    </w:lvl>
    <w:lvl w:ilvl="6" w:tplc="C7DC0084">
      <w:start w:val="1"/>
      <w:numFmt w:val="bullet"/>
      <w:lvlText w:val=""/>
      <w:lvlJc w:val="left"/>
      <w:pPr>
        <w:ind w:left="2120" w:hanging="360"/>
      </w:pPr>
      <w:rPr>
        <w:rFonts w:ascii="Symbol" w:hAnsi="Symbol"/>
      </w:rPr>
    </w:lvl>
    <w:lvl w:ilvl="7" w:tplc="2B24635C">
      <w:start w:val="1"/>
      <w:numFmt w:val="bullet"/>
      <w:lvlText w:val=""/>
      <w:lvlJc w:val="left"/>
      <w:pPr>
        <w:ind w:left="2120" w:hanging="360"/>
      </w:pPr>
      <w:rPr>
        <w:rFonts w:ascii="Symbol" w:hAnsi="Symbol"/>
      </w:rPr>
    </w:lvl>
    <w:lvl w:ilvl="8" w:tplc="40BE3466">
      <w:start w:val="1"/>
      <w:numFmt w:val="bullet"/>
      <w:lvlText w:val=""/>
      <w:lvlJc w:val="left"/>
      <w:pPr>
        <w:ind w:left="2120" w:hanging="360"/>
      </w:pPr>
      <w:rPr>
        <w:rFonts w:ascii="Symbol" w:hAnsi="Symbol"/>
      </w:rPr>
    </w:lvl>
  </w:abstractNum>
  <w:abstractNum w:abstractNumId="17" w15:restartNumberingAfterBreak="0">
    <w:nsid w:val="42B43D7A"/>
    <w:multiLevelType w:val="hybridMultilevel"/>
    <w:tmpl w:val="5CF0BF32"/>
    <w:lvl w:ilvl="0" w:tplc="9B6E54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59F55E5E"/>
    <w:multiLevelType w:val="hybridMultilevel"/>
    <w:tmpl w:val="159A0D62"/>
    <w:lvl w:ilvl="0" w:tplc="B70A95AE">
      <w:start w:val="1"/>
      <w:numFmt w:val="bullet"/>
      <w:lvlText w:val=""/>
      <w:lvlJc w:val="left"/>
      <w:pPr>
        <w:ind w:left="2120" w:hanging="360"/>
      </w:pPr>
      <w:rPr>
        <w:rFonts w:ascii="Symbol" w:hAnsi="Symbol"/>
      </w:rPr>
    </w:lvl>
    <w:lvl w:ilvl="1" w:tplc="DCBCAAB6">
      <w:start w:val="1"/>
      <w:numFmt w:val="bullet"/>
      <w:lvlText w:val=""/>
      <w:lvlJc w:val="left"/>
      <w:pPr>
        <w:ind w:left="2120" w:hanging="360"/>
      </w:pPr>
      <w:rPr>
        <w:rFonts w:ascii="Symbol" w:hAnsi="Symbol"/>
      </w:rPr>
    </w:lvl>
    <w:lvl w:ilvl="2" w:tplc="89B0ABF4">
      <w:start w:val="1"/>
      <w:numFmt w:val="bullet"/>
      <w:lvlText w:val=""/>
      <w:lvlJc w:val="left"/>
      <w:pPr>
        <w:ind w:left="2120" w:hanging="360"/>
      </w:pPr>
      <w:rPr>
        <w:rFonts w:ascii="Symbol" w:hAnsi="Symbol"/>
      </w:rPr>
    </w:lvl>
    <w:lvl w:ilvl="3" w:tplc="19BE0BD2">
      <w:start w:val="1"/>
      <w:numFmt w:val="bullet"/>
      <w:lvlText w:val=""/>
      <w:lvlJc w:val="left"/>
      <w:pPr>
        <w:ind w:left="2120" w:hanging="360"/>
      </w:pPr>
      <w:rPr>
        <w:rFonts w:ascii="Symbol" w:hAnsi="Symbol"/>
      </w:rPr>
    </w:lvl>
    <w:lvl w:ilvl="4" w:tplc="D5ACDA10">
      <w:start w:val="1"/>
      <w:numFmt w:val="bullet"/>
      <w:lvlText w:val=""/>
      <w:lvlJc w:val="left"/>
      <w:pPr>
        <w:ind w:left="2120" w:hanging="360"/>
      </w:pPr>
      <w:rPr>
        <w:rFonts w:ascii="Symbol" w:hAnsi="Symbol"/>
      </w:rPr>
    </w:lvl>
    <w:lvl w:ilvl="5" w:tplc="20D4C85C">
      <w:start w:val="1"/>
      <w:numFmt w:val="bullet"/>
      <w:lvlText w:val=""/>
      <w:lvlJc w:val="left"/>
      <w:pPr>
        <w:ind w:left="2120" w:hanging="360"/>
      </w:pPr>
      <w:rPr>
        <w:rFonts w:ascii="Symbol" w:hAnsi="Symbol"/>
      </w:rPr>
    </w:lvl>
    <w:lvl w:ilvl="6" w:tplc="22CEC35E">
      <w:start w:val="1"/>
      <w:numFmt w:val="bullet"/>
      <w:lvlText w:val=""/>
      <w:lvlJc w:val="left"/>
      <w:pPr>
        <w:ind w:left="2120" w:hanging="360"/>
      </w:pPr>
      <w:rPr>
        <w:rFonts w:ascii="Symbol" w:hAnsi="Symbol"/>
      </w:rPr>
    </w:lvl>
    <w:lvl w:ilvl="7" w:tplc="A07AFB94">
      <w:start w:val="1"/>
      <w:numFmt w:val="bullet"/>
      <w:lvlText w:val=""/>
      <w:lvlJc w:val="left"/>
      <w:pPr>
        <w:ind w:left="2120" w:hanging="360"/>
      </w:pPr>
      <w:rPr>
        <w:rFonts w:ascii="Symbol" w:hAnsi="Symbol"/>
      </w:rPr>
    </w:lvl>
    <w:lvl w:ilvl="8" w:tplc="FF480F1C">
      <w:start w:val="1"/>
      <w:numFmt w:val="bullet"/>
      <w:lvlText w:val=""/>
      <w:lvlJc w:val="left"/>
      <w:pPr>
        <w:ind w:left="2120" w:hanging="360"/>
      </w:pPr>
      <w:rPr>
        <w:rFonts w:ascii="Symbol" w:hAnsi="Symbol"/>
      </w:rPr>
    </w:lvl>
  </w:abstractNum>
  <w:abstractNum w:abstractNumId="20" w15:restartNumberingAfterBreak="0">
    <w:nsid w:val="627A3FDC"/>
    <w:multiLevelType w:val="multilevel"/>
    <w:tmpl w:val="F3302692"/>
    <w:lvl w:ilvl="0">
      <w:start w:val="1"/>
      <w:numFmt w:val="decimal"/>
      <w:pStyle w:val="Heading1"/>
      <w:lvlText w:val="%1"/>
      <w:lvlJc w:val="left"/>
      <w:pPr>
        <w:ind w:left="432" w:hanging="432"/>
      </w:pPr>
      <w:rPr>
        <w:specVanish w: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1148" w:hanging="864"/>
      </w:pPr>
      <w:rPr>
        <w:i w:val="0"/>
        <w:iCs w:val="0"/>
      </w:rPr>
    </w:lvl>
    <w:lvl w:ilvl="4">
      <w:start w:val="1"/>
      <w:numFmt w:val="decimal"/>
      <w:pStyle w:val="Heading5"/>
      <w:lvlText w:val="(%5)."/>
      <w:lvlJc w:val="left"/>
      <w:pPr>
        <w:ind w:left="2143" w:hanging="1008"/>
      </w:pPr>
      <w:rPr>
        <w:rFonts w:hint="default"/>
        <w:strike w:val="0"/>
        <w:color w:val="auto"/>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59970AD"/>
    <w:multiLevelType w:val="hybridMultilevel"/>
    <w:tmpl w:val="6DA25AF8"/>
    <w:lvl w:ilvl="0" w:tplc="EDA8ECD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3" w15:restartNumberingAfterBreak="0">
    <w:nsid w:val="7C2B616E"/>
    <w:multiLevelType w:val="multilevel"/>
    <w:tmpl w:val="175A3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C50599A"/>
    <w:multiLevelType w:val="hybridMultilevel"/>
    <w:tmpl w:val="F44EDBB8"/>
    <w:lvl w:ilvl="0" w:tplc="CA02518C">
      <w:start w:val="1"/>
      <w:numFmt w:val="lowerLetter"/>
      <w:lvlText w:val="(%1)."/>
      <w:lvlJc w:val="left"/>
      <w:pPr>
        <w:ind w:left="2061" w:hanging="360"/>
      </w:pPr>
      <w:rPr>
        <w:rFonts w:hint="default"/>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48581407">
    <w:abstractNumId w:val="20"/>
  </w:num>
  <w:num w:numId="2" w16cid:durableId="787549369">
    <w:abstractNumId w:val="18"/>
  </w:num>
  <w:num w:numId="3" w16cid:durableId="1468430494">
    <w:abstractNumId w:val="11"/>
  </w:num>
  <w:num w:numId="4" w16cid:durableId="93869756">
    <w:abstractNumId w:val="22"/>
  </w:num>
  <w:num w:numId="5" w16cid:durableId="992412671">
    <w:abstractNumId w:val="15"/>
  </w:num>
  <w:num w:numId="6" w16cid:durableId="161505747">
    <w:abstractNumId w:val="12"/>
  </w:num>
  <w:num w:numId="7" w16cid:durableId="1559128960">
    <w:abstractNumId w:val="16"/>
  </w:num>
  <w:num w:numId="8" w16cid:durableId="1237398252">
    <w:abstractNumId w:val="17"/>
  </w:num>
  <w:num w:numId="9" w16cid:durableId="778453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9295618">
    <w:abstractNumId w:val="9"/>
  </w:num>
  <w:num w:numId="11" w16cid:durableId="1717002668">
    <w:abstractNumId w:val="7"/>
  </w:num>
  <w:num w:numId="12" w16cid:durableId="1150318928">
    <w:abstractNumId w:val="6"/>
  </w:num>
  <w:num w:numId="13" w16cid:durableId="1144008985">
    <w:abstractNumId w:val="5"/>
  </w:num>
  <w:num w:numId="14" w16cid:durableId="1134983783">
    <w:abstractNumId w:val="4"/>
  </w:num>
  <w:num w:numId="15" w16cid:durableId="478766318">
    <w:abstractNumId w:val="8"/>
  </w:num>
  <w:num w:numId="16" w16cid:durableId="1035428949">
    <w:abstractNumId w:val="3"/>
  </w:num>
  <w:num w:numId="17" w16cid:durableId="1305040434">
    <w:abstractNumId w:val="2"/>
  </w:num>
  <w:num w:numId="18" w16cid:durableId="1917589605">
    <w:abstractNumId w:val="1"/>
  </w:num>
  <w:num w:numId="19" w16cid:durableId="320039309">
    <w:abstractNumId w:val="0"/>
  </w:num>
  <w:num w:numId="20" w16cid:durableId="583146136">
    <w:abstractNumId w:val="23"/>
  </w:num>
  <w:num w:numId="21" w16cid:durableId="883636060">
    <w:abstractNumId w:val="10"/>
  </w:num>
  <w:num w:numId="22" w16cid:durableId="89279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6443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2127374">
    <w:abstractNumId w:val="19"/>
  </w:num>
  <w:num w:numId="25" w16cid:durableId="2146655647">
    <w:abstractNumId w:val="13"/>
  </w:num>
  <w:num w:numId="26" w16cid:durableId="1079252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7200844">
    <w:abstractNumId w:val="20"/>
  </w:num>
  <w:num w:numId="28" w16cid:durableId="1744792597">
    <w:abstractNumId w:val="20"/>
  </w:num>
  <w:num w:numId="29" w16cid:durableId="14384188">
    <w:abstractNumId w:val="20"/>
  </w:num>
  <w:num w:numId="30" w16cid:durableId="499279027">
    <w:abstractNumId w:val="20"/>
  </w:num>
  <w:num w:numId="31" w16cid:durableId="290794614">
    <w:abstractNumId w:val="20"/>
  </w:num>
  <w:num w:numId="32" w16cid:durableId="642467026">
    <w:abstractNumId w:val="20"/>
  </w:num>
  <w:num w:numId="33" w16cid:durableId="1704600421">
    <w:abstractNumId w:val="20"/>
  </w:num>
  <w:num w:numId="34" w16cid:durableId="21513485">
    <w:abstractNumId w:val="20"/>
  </w:num>
  <w:num w:numId="35" w16cid:durableId="1808039770">
    <w:abstractNumId w:val="24"/>
  </w:num>
  <w:num w:numId="36" w16cid:durableId="1978756666">
    <w:abstractNumId w:val="20"/>
  </w:num>
  <w:num w:numId="37" w16cid:durableId="1734280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2781364">
    <w:abstractNumId w:val="20"/>
  </w:num>
  <w:num w:numId="39" w16cid:durableId="1212572626">
    <w:abstractNumId w:val="20"/>
  </w:num>
  <w:num w:numId="40" w16cid:durableId="713190874">
    <w:abstractNumId w:val="20"/>
  </w:num>
  <w:num w:numId="41" w16cid:durableId="1576696918">
    <w:abstractNumId w:val="20"/>
  </w:num>
  <w:num w:numId="42" w16cid:durableId="655768357">
    <w:abstractNumId w:val="20"/>
  </w:num>
  <w:num w:numId="43" w16cid:durableId="91436145">
    <w:abstractNumId w:val="20"/>
  </w:num>
  <w:num w:numId="44" w16cid:durableId="218563420">
    <w:abstractNumId w:val="20"/>
  </w:num>
  <w:num w:numId="45" w16cid:durableId="1735615490">
    <w:abstractNumId w:val="20"/>
  </w:num>
  <w:num w:numId="46" w16cid:durableId="1839811070">
    <w:abstractNumId w:val="20"/>
  </w:num>
  <w:num w:numId="47" w16cid:durableId="1973975821">
    <w:abstractNumId w:val="20"/>
  </w:num>
  <w:num w:numId="48" w16cid:durableId="930048977">
    <w:abstractNumId w:val="20"/>
  </w:num>
  <w:num w:numId="49" w16cid:durableId="1338114904">
    <w:abstractNumId w:val="20"/>
  </w:num>
  <w:num w:numId="50" w16cid:durableId="788821668">
    <w:abstractNumId w:val="20"/>
  </w:num>
  <w:num w:numId="51" w16cid:durableId="1574074714">
    <w:abstractNumId w:val="20"/>
  </w:num>
  <w:num w:numId="52" w16cid:durableId="787240936">
    <w:abstractNumId w:val="20"/>
  </w:num>
  <w:num w:numId="53" w16cid:durableId="1857379458">
    <w:abstractNumId w:val="20"/>
  </w:num>
  <w:num w:numId="54" w16cid:durableId="1811245379">
    <w:abstractNumId w:val="20"/>
  </w:num>
  <w:num w:numId="55" w16cid:durableId="717515543">
    <w:abstractNumId w:val="20"/>
  </w:num>
  <w:num w:numId="56" w16cid:durableId="171266776">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BF"/>
    <w:rsid w:val="00004448"/>
    <w:rsid w:val="000046B5"/>
    <w:rsid w:val="00004FE3"/>
    <w:rsid w:val="00014D4A"/>
    <w:rsid w:val="0002191E"/>
    <w:rsid w:val="00023D71"/>
    <w:rsid w:val="000246D1"/>
    <w:rsid w:val="00025F4B"/>
    <w:rsid w:val="000306CC"/>
    <w:rsid w:val="00030751"/>
    <w:rsid w:val="00030A63"/>
    <w:rsid w:val="000317AC"/>
    <w:rsid w:val="00032584"/>
    <w:rsid w:val="00034C30"/>
    <w:rsid w:val="0003549A"/>
    <w:rsid w:val="00037ED4"/>
    <w:rsid w:val="00046F34"/>
    <w:rsid w:val="00047EE5"/>
    <w:rsid w:val="00050AB6"/>
    <w:rsid w:val="00050EC0"/>
    <w:rsid w:val="00052443"/>
    <w:rsid w:val="00052901"/>
    <w:rsid w:val="00054C7B"/>
    <w:rsid w:val="00056922"/>
    <w:rsid w:val="0006441F"/>
    <w:rsid w:val="00066602"/>
    <w:rsid w:val="000675EC"/>
    <w:rsid w:val="000702A8"/>
    <w:rsid w:val="00071FD8"/>
    <w:rsid w:val="00076759"/>
    <w:rsid w:val="00077B0F"/>
    <w:rsid w:val="00095890"/>
    <w:rsid w:val="0009651F"/>
    <w:rsid w:val="00097C61"/>
    <w:rsid w:val="000A1B28"/>
    <w:rsid w:val="000A35E9"/>
    <w:rsid w:val="000A411B"/>
    <w:rsid w:val="000A5E18"/>
    <w:rsid w:val="000B092A"/>
    <w:rsid w:val="000C1D7E"/>
    <w:rsid w:val="000C1ED2"/>
    <w:rsid w:val="000C4493"/>
    <w:rsid w:val="000C71B0"/>
    <w:rsid w:val="000D1A6D"/>
    <w:rsid w:val="000D3BE0"/>
    <w:rsid w:val="000D7AB6"/>
    <w:rsid w:val="000E18DE"/>
    <w:rsid w:val="000E2F00"/>
    <w:rsid w:val="000E4142"/>
    <w:rsid w:val="000E591A"/>
    <w:rsid w:val="000E7CD6"/>
    <w:rsid w:val="000F01FF"/>
    <w:rsid w:val="000F6A0D"/>
    <w:rsid w:val="000F73C2"/>
    <w:rsid w:val="000F7C41"/>
    <w:rsid w:val="0010647D"/>
    <w:rsid w:val="00107204"/>
    <w:rsid w:val="00110071"/>
    <w:rsid w:val="00111639"/>
    <w:rsid w:val="00111B7E"/>
    <w:rsid w:val="00111E3C"/>
    <w:rsid w:val="00120380"/>
    <w:rsid w:val="001226D7"/>
    <w:rsid w:val="001276D8"/>
    <w:rsid w:val="00130ACE"/>
    <w:rsid w:val="0013304F"/>
    <w:rsid w:val="00133A69"/>
    <w:rsid w:val="00133DFC"/>
    <w:rsid w:val="00134A1B"/>
    <w:rsid w:val="00135785"/>
    <w:rsid w:val="001369AD"/>
    <w:rsid w:val="00137A25"/>
    <w:rsid w:val="00147497"/>
    <w:rsid w:val="001521D4"/>
    <w:rsid w:val="0015296E"/>
    <w:rsid w:val="00156645"/>
    <w:rsid w:val="00167DB0"/>
    <w:rsid w:val="001712A2"/>
    <w:rsid w:val="00171C64"/>
    <w:rsid w:val="00175C02"/>
    <w:rsid w:val="0017670D"/>
    <w:rsid w:val="00180F9C"/>
    <w:rsid w:val="0018586F"/>
    <w:rsid w:val="0018636E"/>
    <w:rsid w:val="00187083"/>
    <w:rsid w:val="00190F28"/>
    <w:rsid w:val="0019142F"/>
    <w:rsid w:val="001916AF"/>
    <w:rsid w:val="001918E7"/>
    <w:rsid w:val="0019248B"/>
    <w:rsid w:val="001927A6"/>
    <w:rsid w:val="00196576"/>
    <w:rsid w:val="00196BB2"/>
    <w:rsid w:val="001A112A"/>
    <w:rsid w:val="001A1E8D"/>
    <w:rsid w:val="001A220B"/>
    <w:rsid w:val="001A2AEF"/>
    <w:rsid w:val="001A406F"/>
    <w:rsid w:val="001B6064"/>
    <w:rsid w:val="001C1BB6"/>
    <w:rsid w:val="001C3FAE"/>
    <w:rsid w:val="001D07F1"/>
    <w:rsid w:val="001D1704"/>
    <w:rsid w:val="001D1F15"/>
    <w:rsid w:val="001D334A"/>
    <w:rsid w:val="001D37A0"/>
    <w:rsid w:val="001D48E2"/>
    <w:rsid w:val="001D7231"/>
    <w:rsid w:val="001E65DA"/>
    <w:rsid w:val="001E6A1B"/>
    <w:rsid w:val="001F1291"/>
    <w:rsid w:val="001F1BA6"/>
    <w:rsid w:val="001F41FD"/>
    <w:rsid w:val="001F507E"/>
    <w:rsid w:val="001F5E76"/>
    <w:rsid w:val="00203261"/>
    <w:rsid w:val="002105D7"/>
    <w:rsid w:val="00210776"/>
    <w:rsid w:val="002112DD"/>
    <w:rsid w:val="00214960"/>
    <w:rsid w:val="00215F8D"/>
    <w:rsid w:val="00216B06"/>
    <w:rsid w:val="00220204"/>
    <w:rsid w:val="002205BE"/>
    <w:rsid w:val="00221E2B"/>
    <w:rsid w:val="00225BE9"/>
    <w:rsid w:val="00230458"/>
    <w:rsid w:val="00232163"/>
    <w:rsid w:val="00234CB9"/>
    <w:rsid w:val="0023726A"/>
    <w:rsid w:val="002402FD"/>
    <w:rsid w:val="00241827"/>
    <w:rsid w:val="00242377"/>
    <w:rsid w:val="0024611F"/>
    <w:rsid w:val="002468C4"/>
    <w:rsid w:val="0025090C"/>
    <w:rsid w:val="00251521"/>
    <w:rsid w:val="00252D1B"/>
    <w:rsid w:val="00262565"/>
    <w:rsid w:val="00265A24"/>
    <w:rsid w:val="002673D3"/>
    <w:rsid w:val="002675DE"/>
    <w:rsid w:val="00273DA2"/>
    <w:rsid w:val="00273FFF"/>
    <w:rsid w:val="002775C5"/>
    <w:rsid w:val="0028081D"/>
    <w:rsid w:val="00284A53"/>
    <w:rsid w:val="00284C59"/>
    <w:rsid w:val="0028628D"/>
    <w:rsid w:val="0028739C"/>
    <w:rsid w:val="0029395F"/>
    <w:rsid w:val="00294834"/>
    <w:rsid w:val="002965D3"/>
    <w:rsid w:val="002974B5"/>
    <w:rsid w:val="002A3F78"/>
    <w:rsid w:val="002A6654"/>
    <w:rsid w:val="002B4420"/>
    <w:rsid w:val="002B4591"/>
    <w:rsid w:val="002B4FB2"/>
    <w:rsid w:val="002B6D9B"/>
    <w:rsid w:val="002B7CCB"/>
    <w:rsid w:val="002C203D"/>
    <w:rsid w:val="002C2A19"/>
    <w:rsid w:val="002C2EF5"/>
    <w:rsid w:val="002C40EC"/>
    <w:rsid w:val="002C4AD7"/>
    <w:rsid w:val="002C65F7"/>
    <w:rsid w:val="002D0E2A"/>
    <w:rsid w:val="002D3B5D"/>
    <w:rsid w:val="002D57DF"/>
    <w:rsid w:val="002D5903"/>
    <w:rsid w:val="002D5F8F"/>
    <w:rsid w:val="002D7650"/>
    <w:rsid w:val="002E36B0"/>
    <w:rsid w:val="002E4CC1"/>
    <w:rsid w:val="002E69F4"/>
    <w:rsid w:val="002F521F"/>
    <w:rsid w:val="002F61CA"/>
    <w:rsid w:val="00301B78"/>
    <w:rsid w:val="003021F7"/>
    <w:rsid w:val="0030564A"/>
    <w:rsid w:val="003067D5"/>
    <w:rsid w:val="00312610"/>
    <w:rsid w:val="00312D72"/>
    <w:rsid w:val="00313F0A"/>
    <w:rsid w:val="0031616A"/>
    <w:rsid w:val="00320CA2"/>
    <w:rsid w:val="003229B9"/>
    <w:rsid w:val="00322F86"/>
    <w:rsid w:val="00327A68"/>
    <w:rsid w:val="0033370C"/>
    <w:rsid w:val="0033390D"/>
    <w:rsid w:val="003369B0"/>
    <w:rsid w:val="00337D51"/>
    <w:rsid w:val="00342A5E"/>
    <w:rsid w:val="00343BE2"/>
    <w:rsid w:val="00343E25"/>
    <w:rsid w:val="003449DC"/>
    <w:rsid w:val="0034568A"/>
    <w:rsid w:val="00347417"/>
    <w:rsid w:val="00350414"/>
    <w:rsid w:val="00352265"/>
    <w:rsid w:val="0035395A"/>
    <w:rsid w:val="003550A9"/>
    <w:rsid w:val="0035537C"/>
    <w:rsid w:val="00355C56"/>
    <w:rsid w:val="00357146"/>
    <w:rsid w:val="00361A5B"/>
    <w:rsid w:val="00370259"/>
    <w:rsid w:val="0037088C"/>
    <w:rsid w:val="0037323C"/>
    <w:rsid w:val="00374CA0"/>
    <w:rsid w:val="0037663D"/>
    <w:rsid w:val="003802EC"/>
    <w:rsid w:val="00380358"/>
    <w:rsid w:val="00382F35"/>
    <w:rsid w:val="00386C12"/>
    <w:rsid w:val="00391888"/>
    <w:rsid w:val="00391EE9"/>
    <w:rsid w:val="0039224B"/>
    <w:rsid w:val="003922AB"/>
    <w:rsid w:val="003927D8"/>
    <w:rsid w:val="00392F68"/>
    <w:rsid w:val="00396674"/>
    <w:rsid w:val="003966D5"/>
    <w:rsid w:val="003A0A80"/>
    <w:rsid w:val="003A1555"/>
    <w:rsid w:val="003A5CB0"/>
    <w:rsid w:val="003B0519"/>
    <w:rsid w:val="003B077D"/>
    <w:rsid w:val="003B31E5"/>
    <w:rsid w:val="003B5C27"/>
    <w:rsid w:val="003C5774"/>
    <w:rsid w:val="003C5800"/>
    <w:rsid w:val="003D3788"/>
    <w:rsid w:val="003D5653"/>
    <w:rsid w:val="003E0B67"/>
    <w:rsid w:val="003E28E0"/>
    <w:rsid w:val="003E4B3B"/>
    <w:rsid w:val="003F2C56"/>
    <w:rsid w:val="003F52C1"/>
    <w:rsid w:val="003F6BC4"/>
    <w:rsid w:val="003F7F46"/>
    <w:rsid w:val="00401732"/>
    <w:rsid w:val="0040732E"/>
    <w:rsid w:val="004104E1"/>
    <w:rsid w:val="00410C03"/>
    <w:rsid w:val="00413131"/>
    <w:rsid w:val="00414DD8"/>
    <w:rsid w:val="0041675D"/>
    <w:rsid w:val="0042282C"/>
    <w:rsid w:val="00423EB1"/>
    <w:rsid w:val="0043127C"/>
    <w:rsid w:val="00436434"/>
    <w:rsid w:val="00436DC8"/>
    <w:rsid w:val="004472F8"/>
    <w:rsid w:val="00452ED6"/>
    <w:rsid w:val="004708E2"/>
    <w:rsid w:val="0047227F"/>
    <w:rsid w:val="00475386"/>
    <w:rsid w:val="004753BC"/>
    <w:rsid w:val="0047541B"/>
    <w:rsid w:val="0047576E"/>
    <w:rsid w:val="004775D2"/>
    <w:rsid w:val="00477714"/>
    <w:rsid w:val="00481116"/>
    <w:rsid w:val="0048127A"/>
    <w:rsid w:val="00481D39"/>
    <w:rsid w:val="00485739"/>
    <w:rsid w:val="00494E0A"/>
    <w:rsid w:val="0049670C"/>
    <w:rsid w:val="004A019F"/>
    <w:rsid w:val="004A1D37"/>
    <w:rsid w:val="004A2BAE"/>
    <w:rsid w:val="004A42DA"/>
    <w:rsid w:val="004A5E19"/>
    <w:rsid w:val="004A679B"/>
    <w:rsid w:val="004B1362"/>
    <w:rsid w:val="004B2222"/>
    <w:rsid w:val="004B27FF"/>
    <w:rsid w:val="004B57C7"/>
    <w:rsid w:val="004C1D73"/>
    <w:rsid w:val="004C4166"/>
    <w:rsid w:val="004C6112"/>
    <w:rsid w:val="004C791C"/>
    <w:rsid w:val="004D050E"/>
    <w:rsid w:val="004D5D24"/>
    <w:rsid w:val="004D67E9"/>
    <w:rsid w:val="004E1B9E"/>
    <w:rsid w:val="004E24BA"/>
    <w:rsid w:val="004E3F1A"/>
    <w:rsid w:val="004E4EF6"/>
    <w:rsid w:val="004F145F"/>
    <w:rsid w:val="004F7782"/>
    <w:rsid w:val="00501A11"/>
    <w:rsid w:val="005043C1"/>
    <w:rsid w:val="00505219"/>
    <w:rsid w:val="005074D0"/>
    <w:rsid w:val="00517046"/>
    <w:rsid w:val="00522242"/>
    <w:rsid w:val="00524AEA"/>
    <w:rsid w:val="005306CD"/>
    <w:rsid w:val="00533C77"/>
    <w:rsid w:val="00537BD4"/>
    <w:rsid w:val="00543BB2"/>
    <w:rsid w:val="005506E7"/>
    <w:rsid w:val="00552876"/>
    <w:rsid w:val="00552A1E"/>
    <w:rsid w:val="0055320F"/>
    <w:rsid w:val="00553905"/>
    <w:rsid w:val="00554CDE"/>
    <w:rsid w:val="00554F6D"/>
    <w:rsid w:val="00562B59"/>
    <w:rsid w:val="00562FF6"/>
    <w:rsid w:val="00564097"/>
    <w:rsid w:val="00565B9B"/>
    <w:rsid w:val="0056762A"/>
    <w:rsid w:val="00577460"/>
    <w:rsid w:val="00581C8A"/>
    <w:rsid w:val="00583ACD"/>
    <w:rsid w:val="00584A34"/>
    <w:rsid w:val="00584B4B"/>
    <w:rsid w:val="00586364"/>
    <w:rsid w:val="005948E1"/>
    <w:rsid w:val="005A130E"/>
    <w:rsid w:val="005A2ADE"/>
    <w:rsid w:val="005B04A4"/>
    <w:rsid w:val="005B0EAE"/>
    <w:rsid w:val="005B3122"/>
    <w:rsid w:val="005B3AB0"/>
    <w:rsid w:val="005B4968"/>
    <w:rsid w:val="005B5184"/>
    <w:rsid w:val="005B64F6"/>
    <w:rsid w:val="005C02FE"/>
    <w:rsid w:val="005C2171"/>
    <w:rsid w:val="005C3D5B"/>
    <w:rsid w:val="005C58D5"/>
    <w:rsid w:val="005C6CF3"/>
    <w:rsid w:val="005D0C8F"/>
    <w:rsid w:val="005D1EBC"/>
    <w:rsid w:val="005D2F5A"/>
    <w:rsid w:val="005E16DD"/>
    <w:rsid w:val="005E2502"/>
    <w:rsid w:val="005E762E"/>
    <w:rsid w:val="005F1110"/>
    <w:rsid w:val="005F1862"/>
    <w:rsid w:val="005F2AEF"/>
    <w:rsid w:val="005F370E"/>
    <w:rsid w:val="005F4C7B"/>
    <w:rsid w:val="006008A8"/>
    <w:rsid w:val="00601D78"/>
    <w:rsid w:val="006035CE"/>
    <w:rsid w:val="006040AE"/>
    <w:rsid w:val="0060622C"/>
    <w:rsid w:val="006070C5"/>
    <w:rsid w:val="0061235D"/>
    <w:rsid w:val="00622D10"/>
    <w:rsid w:val="00625A32"/>
    <w:rsid w:val="00626E2E"/>
    <w:rsid w:val="0063353F"/>
    <w:rsid w:val="00644888"/>
    <w:rsid w:val="0064609E"/>
    <w:rsid w:val="00647FB2"/>
    <w:rsid w:val="006527C0"/>
    <w:rsid w:val="00653091"/>
    <w:rsid w:val="00653E26"/>
    <w:rsid w:val="00654FB2"/>
    <w:rsid w:val="00655FFA"/>
    <w:rsid w:val="00662053"/>
    <w:rsid w:val="0066310D"/>
    <w:rsid w:val="00663872"/>
    <w:rsid w:val="00665D99"/>
    <w:rsid w:val="00671320"/>
    <w:rsid w:val="0067491D"/>
    <w:rsid w:val="006752A3"/>
    <w:rsid w:val="00676B56"/>
    <w:rsid w:val="00683344"/>
    <w:rsid w:val="0068504B"/>
    <w:rsid w:val="0068607F"/>
    <w:rsid w:val="0068793B"/>
    <w:rsid w:val="006913E0"/>
    <w:rsid w:val="00691F59"/>
    <w:rsid w:val="0069769E"/>
    <w:rsid w:val="006B02A4"/>
    <w:rsid w:val="006B0666"/>
    <w:rsid w:val="006B0E20"/>
    <w:rsid w:val="006B668D"/>
    <w:rsid w:val="006C2778"/>
    <w:rsid w:val="006C45FF"/>
    <w:rsid w:val="006C5F79"/>
    <w:rsid w:val="006C73F1"/>
    <w:rsid w:val="006D46EE"/>
    <w:rsid w:val="006D51E7"/>
    <w:rsid w:val="006E177C"/>
    <w:rsid w:val="006E1839"/>
    <w:rsid w:val="006E279F"/>
    <w:rsid w:val="006E6B6F"/>
    <w:rsid w:val="006F0D8E"/>
    <w:rsid w:val="0070245E"/>
    <w:rsid w:val="0070290F"/>
    <w:rsid w:val="0070498F"/>
    <w:rsid w:val="00705231"/>
    <w:rsid w:val="007065A6"/>
    <w:rsid w:val="00710D0D"/>
    <w:rsid w:val="00713889"/>
    <w:rsid w:val="00722C84"/>
    <w:rsid w:val="00724AD9"/>
    <w:rsid w:val="0072621E"/>
    <w:rsid w:val="007265D2"/>
    <w:rsid w:val="0072661B"/>
    <w:rsid w:val="00730DD1"/>
    <w:rsid w:val="0073193B"/>
    <w:rsid w:val="007320FE"/>
    <w:rsid w:val="007365AE"/>
    <w:rsid w:val="007459C9"/>
    <w:rsid w:val="00745E13"/>
    <w:rsid w:val="00751030"/>
    <w:rsid w:val="007547E8"/>
    <w:rsid w:val="00754C6D"/>
    <w:rsid w:val="0075539E"/>
    <w:rsid w:val="00760538"/>
    <w:rsid w:val="00760CB4"/>
    <w:rsid w:val="00762E7E"/>
    <w:rsid w:val="0076373D"/>
    <w:rsid w:val="00767DFB"/>
    <w:rsid w:val="007707BD"/>
    <w:rsid w:val="007725F6"/>
    <w:rsid w:val="00772F35"/>
    <w:rsid w:val="007770B7"/>
    <w:rsid w:val="007778C5"/>
    <w:rsid w:val="00783537"/>
    <w:rsid w:val="00786127"/>
    <w:rsid w:val="00786169"/>
    <w:rsid w:val="00790A57"/>
    <w:rsid w:val="00796B9E"/>
    <w:rsid w:val="0079717B"/>
    <w:rsid w:val="007A1E3B"/>
    <w:rsid w:val="007A20EF"/>
    <w:rsid w:val="007A34AA"/>
    <w:rsid w:val="007A38CA"/>
    <w:rsid w:val="007B092C"/>
    <w:rsid w:val="007B1B5F"/>
    <w:rsid w:val="007B3AF2"/>
    <w:rsid w:val="007B4EF8"/>
    <w:rsid w:val="007B512F"/>
    <w:rsid w:val="007B53C4"/>
    <w:rsid w:val="007B5421"/>
    <w:rsid w:val="007B6A8A"/>
    <w:rsid w:val="007B7E96"/>
    <w:rsid w:val="007C43D8"/>
    <w:rsid w:val="007C7A18"/>
    <w:rsid w:val="007C7D17"/>
    <w:rsid w:val="007D3E0B"/>
    <w:rsid w:val="007D7045"/>
    <w:rsid w:val="007D7575"/>
    <w:rsid w:val="007E4397"/>
    <w:rsid w:val="007F0BE1"/>
    <w:rsid w:val="007F3526"/>
    <w:rsid w:val="007F67BA"/>
    <w:rsid w:val="008050F9"/>
    <w:rsid w:val="00814101"/>
    <w:rsid w:val="00816692"/>
    <w:rsid w:val="00816C15"/>
    <w:rsid w:val="00817815"/>
    <w:rsid w:val="0081781F"/>
    <w:rsid w:val="0082107F"/>
    <w:rsid w:val="008213AE"/>
    <w:rsid w:val="00823515"/>
    <w:rsid w:val="00827EC0"/>
    <w:rsid w:val="0083102F"/>
    <w:rsid w:val="00831D37"/>
    <w:rsid w:val="00840118"/>
    <w:rsid w:val="008407CB"/>
    <w:rsid w:val="008418EE"/>
    <w:rsid w:val="0084286B"/>
    <w:rsid w:val="00842A9F"/>
    <w:rsid w:val="0084421E"/>
    <w:rsid w:val="00846D6E"/>
    <w:rsid w:val="00851A46"/>
    <w:rsid w:val="008528FA"/>
    <w:rsid w:val="0085429F"/>
    <w:rsid w:val="008552C5"/>
    <w:rsid w:val="00857600"/>
    <w:rsid w:val="008611FF"/>
    <w:rsid w:val="008643F1"/>
    <w:rsid w:val="00864BA9"/>
    <w:rsid w:val="00865776"/>
    <w:rsid w:val="008658CB"/>
    <w:rsid w:val="00866395"/>
    <w:rsid w:val="00866611"/>
    <w:rsid w:val="00867130"/>
    <w:rsid w:val="00870074"/>
    <w:rsid w:val="00872223"/>
    <w:rsid w:val="008752B2"/>
    <w:rsid w:val="00875F3E"/>
    <w:rsid w:val="0088584C"/>
    <w:rsid w:val="00886CD8"/>
    <w:rsid w:val="008874C2"/>
    <w:rsid w:val="00894386"/>
    <w:rsid w:val="008944AF"/>
    <w:rsid w:val="008A1857"/>
    <w:rsid w:val="008A3D45"/>
    <w:rsid w:val="008A540C"/>
    <w:rsid w:val="008A596C"/>
    <w:rsid w:val="008A6762"/>
    <w:rsid w:val="008A6D66"/>
    <w:rsid w:val="008A7C5B"/>
    <w:rsid w:val="008B027D"/>
    <w:rsid w:val="008B4725"/>
    <w:rsid w:val="008B479E"/>
    <w:rsid w:val="008B4EF6"/>
    <w:rsid w:val="008B558D"/>
    <w:rsid w:val="008B705C"/>
    <w:rsid w:val="008B7299"/>
    <w:rsid w:val="008C598C"/>
    <w:rsid w:val="008C60C1"/>
    <w:rsid w:val="008D09A2"/>
    <w:rsid w:val="008D2E9F"/>
    <w:rsid w:val="008D6041"/>
    <w:rsid w:val="008D615A"/>
    <w:rsid w:val="008E0A74"/>
    <w:rsid w:val="008E32DB"/>
    <w:rsid w:val="008F33F9"/>
    <w:rsid w:val="008F7700"/>
    <w:rsid w:val="00905339"/>
    <w:rsid w:val="009060CF"/>
    <w:rsid w:val="00912659"/>
    <w:rsid w:val="00913B6F"/>
    <w:rsid w:val="00916832"/>
    <w:rsid w:val="009216A3"/>
    <w:rsid w:val="0092492C"/>
    <w:rsid w:val="0093036D"/>
    <w:rsid w:val="009309FA"/>
    <w:rsid w:val="00931DEC"/>
    <w:rsid w:val="00932A5C"/>
    <w:rsid w:val="0093598D"/>
    <w:rsid w:val="0093600F"/>
    <w:rsid w:val="009364D0"/>
    <w:rsid w:val="009403FD"/>
    <w:rsid w:val="009414CA"/>
    <w:rsid w:val="00942423"/>
    <w:rsid w:val="009454D9"/>
    <w:rsid w:val="00946202"/>
    <w:rsid w:val="00946546"/>
    <w:rsid w:val="0095008D"/>
    <w:rsid w:val="00950D3B"/>
    <w:rsid w:val="00951C12"/>
    <w:rsid w:val="009546AB"/>
    <w:rsid w:val="00961FED"/>
    <w:rsid w:val="00965B33"/>
    <w:rsid w:val="0097081C"/>
    <w:rsid w:val="009711A4"/>
    <w:rsid w:val="00972B3A"/>
    <w:rsid w:val="00972BA7"/>
    <w:rsid w:val="0097782D"/>
    <w:rsid w:val="00977FC6"/>
    <w:rsid w:val="009855F8"/>
    <w:rsid w:val="00997720"/>
    <w:rsid w:val="009A1BE9"/>
    <w:rsid w:val="009A44E4"/>
    <w:rsid w:val="009A67D3"/>
    <w:rsid w:val="009B1EA4"/>
    <w:rsid w:val="009B37C9"/>
    <w:rsid w:val="009B51AD"/>
    <w:rsid w:val="009B6052"/>
    <w:rsid w:val="009B6B67"/>
    <w:rsid w:val="009B7DC4"/>
    <w:rsid w:val="009C08F0"/>
    <w:rsid w:val="009C0C5F"/>
    <w:rsid w:val="009C3CC4"/>
    <w:rsid w:val="009C3FFF"/>
    <w:rsid w:val="009C50C2"/>
    <w:rsid w:val="009C66FA"/>
    <w:rsid w:val="009D121D"/>
    <w:rsid w:val="009D134E"/>
    <w:rsid w:val="009D32CA"/>
    <w:rsid w:val="009D56CC"/>
    <w:rsid w:val="009D58B8"/>
    <w:rsid w:val="009E1D27"/>
    <w:rsid w:val="009E239B"/>
    <w:rsid w:val="009E4080"/>
    <w:rsid w:val="009E50D8"/>
    <w:rsid w:val="009E6152"/>
    <w:rsid w:val="009E7264"/>
    <w:rsid w:val="009E72D8"/>
    <w:rsid w:val="009E7C16"/>
    <w:rsid w:val="009F4F30"/>
    <w:rsid w:val="009F7CA6"/>
    <w:rsid w:val="00A000AF"/>
    <w:rsid w:val="00A018CF"/>
    <w:rsid w:val="00A0413D"/>
    <w:rsid w:val="00A0417F"/>
    <w:rsid w:val="00A06A02"/>
    <w:rsid w:val="00A119BC"/>
    <w:rsid w:val="00A13B86"/>
    <w:rsid w:val="00A15233"/>
    <w:rsid w:val="00A1763B"/>
    <w:rsid w:val="00A178DF"/>
    <w:rsid w:val="00A234AF"/>
    <w:rsid w:val="00A2772C"/>
    <w:rsid w:val="00A3633E"/>
    <w:rsid w:val="00A437AA"/>
    <w:rsid w:val="00A4614E"/>
    <w:rsid w:val="00A50F1C"/>
    <w:rsid w:val="00A52BB5"/>
    <w:rsid w:val="00A52DBE"/>
    <w:rsid w:val="00A56B2A"/>
    <w:rsid w:val="00A7395D"/>
    <w:rsid w:val="00A7402C"/>
    <w:rsid w:val="00A75FDE"/>
    <w:rsid w:val="00A77E3A"/>
    <w:rsid w:val="00A81BC6"/>
    <w:rsid w:val="00A83C59"/>
    <w:rsid w:val="00A86856"/>
    <w:rsid w:val="00A92D3D"/>
    <w:rsid w:val="00A95A9C"/>
    <w:rsid w:val="00AA19C6"/>
    <w:rsid w:val="00AA1A4D"/>
    <w:rsid w:val="00AA3B72"/>
    <w:rsid w:val="00AA7139"/>
    <w:rsid w:val="00AA7C52"/>
    <w:rsid w:val="00AB0E14"/>
    <w:rsid w:val="00AB2DA9"/>
    <w:rsid w:val="00AB5098"/>
    <w:rsid w:val="00AB5D02"/>
    <w:rsid w:val="00AC001E"/>
    <w:rsid w:val="00AC01A3"/>
    <w:rsid w:val="00AC178A"/>
    <w:rsid w:val="00AC18F1"/>
    <w:rsid w:val="00AC2F1B"/>
    <w:rsid w:val="00AC62A6"/>
    <w:rsid w:val="00AD2244"/>
    <w:rsid w:val="00AD4578"/>
    <w:rsid w:val="00AD7563"/>
    <w:rsid w:val="00AE1352"/>
    <w:rsid w:val="00AE304B"/>
    <w:rsid w:val="00AE45EA"/>
    <w:rsid w:val="00AE6CB1"/>
    <w:rsid w:val="00AE761C"/>
    <w:rsid w:val="00AE7D00"/>
    <w:rsid w:val="00AF0DA2"/>
    <w:rsid w:val="00AF339D"/>
    <w:rsid w:val="00AF4E4E"/>
    <w:rsid w:val="00AF4E84"/>
    <w:rsid w:val="00B040EB"/>
    <w:rsid w:val="00B0788F"/>
    <w:rsid w:val="00B11A54"/>
    <w:rsid w:val="00B22485"/>
    <w:rsid w:val="00B226C4"/>
    <w:rsid w:val="00B24FA0"/>
    <w:rsid w:val="00B27700"/>
    <w:rsid w:val="00B30F45"/>
    <w:rsid w:val="00B31374"/>
    <w:rsid w:val="00B32410"/>
    <w:rsid w:val="00B3435A"/>
    <w:rsid w:val="00B34616"/>
    <w:rsid w:val="00B34F5F"/>
    <w:rsid w:val="00B36DC5"/>
    <w:rsid w:val="00B41588"/>
    <w:rsid w:val="00B42509"/>
    <w:rsid w:val="00B43D7F"/>
    <w:rsid w:val="00B46303"/>
    <w:rsid w:val="00B51AF7"/>
    <w:rsid w:val="00B52AD6"/>
    <w:rsid w:val="00B54EFB"/>
    <w:rsid w:val="00B55378"/>
    <w:rsid w:val="00B56767"/>
    <w:rsid w:val="00B57D2C"/>
    <w:rsid w:val="00B62285"/>
    <w:rsid w:val="00B636F8"/>
    <w:rsid w:val="00B73C22"/>
    <w:rsid w:val="00B820E3"/>
    <w:rsid w:val="00B84C61"/>
    <w:rsid w:val="00B87728"/>
    <w:rsid w:val="00B92379"/>
    <w:rsid w:val="00B92C74"/>
    <w:rsid w:val="00B936C4"/>
    <w:rsid w:val="00B94A99"/>
    <w:rsid w:val="00BA0627"/>
    <w:rsid w:val="00BA3624"/>
    <w:rsid w:val="00BB0D1A"/>
    <w:rsid w:val="00BB70AB"/>
    <w:rsid w:val="00BC102B"/>
    <w:rsid w:val="00BC5627"/>
    <w:rsid w:val="00BC7185"/>
    <w:rsid w:val="00BD02E8"/>
    <w:rsid w:val="00BD1506"/>
    <w:rsid w:val="00BD6176"/>
    <w:rsid w:val="00BD6F93"/>
    <w:rsid w:val="00BD711F"/>
    <w:rsid w:val="00BE17E1"/>
    <w:rsid w:val="00BE2C57"/>
    <w:rsid w:val="00BE2EEF"/>
    <w:rsid w:val="00BE5AC3"/>
    <w:rsid w:val="00BF1141"/>
    <w:rsid w:val="00BF177E"/>
    <w:rsid w:val="00BF1FAF"/>
    <w:rsid w:val="00BF50B7"/>
    <w:rsid w:val="00BF7672"/>
    <w:rsid w:val="00C00472"/>
    <w:rsid w:val="00C007E0"/>
    <w:rsid w:val="00C0124B"/>
    <w:rsid w:val="00C03B7B"/>
    <w:rsid w:val="00C04D6B"/>
    <w:rsid w:val="00C11349"/>
    <w:rsid w:val="00C121D7"/>
    <w:rsid w:val="00C12708"/>
    <w:rsid w:val="00C127DE"/>
    <w:rsid w:val="00C146FB"/>
    <w:rsid w:val="00C1749B"/>
    <w:rsid w:val="00C23EBD"/>
    <w:rsid w:val="00C25A75"/>
    <w:rsid w:val="00C2729D"/>
    <w:rsid w:val="00C3525A"/>
    <w:rsid w:val="00C35F2B"/>
    <w:rsid w:val="00C37D78"/>
    <w:rsid w:val="00C40BBF"/>
    <w:rsid w:val="00C40DC9"/>
    <w:rsid w:val="00C43B67"/>
    <w:rsid w:val="00C45A3B"/>
    <w:rsid w:val="00C4760E"/>
    <w:rsid w:val="00C50078"/>
    <w:rsid w:val="00C504E8"/>
    <w:rsid w:val="00C52F57"/>
    <w:rsid w:val="00C5311D"/>
    <w:rsid w:val="00C55ED0"/>
    <w:rsid w:val="00C55F79"/>
    <w:rsid w:val="00C605FA"/>
    <w:rsid w:val="00C634A4"/>
    <w:rsid w:val="00C70D98"/>
    <w:rsid w:val="00C73984"/>
    <w:rsid w:val="00C742A1"/>
    <w:rsid w:val="00C7587C"/>
    <w:rsid w:val="00C76C5E"/>
    <w:rsid w:val="00C802E9"/>
    <w:rsid w:val="00C807E6"/>
    <w:rsid w:val="00C80D2C"/>
    <w:rsid w:val="00C811D2"/>
    <w:rsid w:val="00C85C79"/>
    <w:rsid w:val="00C87B49"/>
    <w:rsid w:val="00C90CA1"/>
    <w:rsid w:val="00C926CD"/>
    <w:rsid w:val="00C9320F"/>
    <w:rsid w:val="00C962B8"/>
    <w:rsid w:val="00C97456"/>
    <w:rsid w:val="00CA189B"/>
    <w:rsid w:val="00CA3CFA"/>
    <w:rsid w:val="00CB0BAA"/>
    <w:rsid w:val="00CB119D"/>
    <w:rsid w:val="00CB17F0"/>
    <w:rsid w:val="00CB78A0"/>
    <w:rsid w:val="00CB7DDF"/>
    <w:rsid w:val="00CC554F"/>
    <w:rsid w:val="00CD3C66"/>
    <w:rsid w:val="00CE32A6"/>
    <w:rsid w:val="00CF1A98"/>
    <w:rsid w:val="00CF3F06"/>
    <w:rsid w:val="00CF51AD"/>
    <w:rsid w:val="00D00447"/>
    <w:rsid w:val="00D00D1B"/>
    <w:rsid w:val="00D0196F"/>
    <w:rsid w:val="00D02E95"/>
    <w:rsid w:val="00D11699"/>
    <w:rsid w:val="00D13496"/>
    <w:rsid w:val="00D14B22"/>
    <w:rsid w:val="00D2018D"/>
    <w:rsid w:val="00D23014"/>
    <w:rsid w:val="00D254D5"/>
    <w:rsid w:val="00D26A7E"/>
    <w:rsid w:val="00D311DC"/>
    <w:rsid w:val="00D331FB"/>
    <w:rsid w:val="00D3785C"/>
    <w:rsid w:val="00D421B6"/>
    <w:rsid w:val="00D4255A"/>
    <w:rsid w:val="00D43977"/>
    <w:rsid w:val="00D44F8A"/>
    <w:rsid w:val="00D468BF"/>
    <w:rsid w:val="00D51D70"/>
    <w:rsid w:val="00D52478"/>
    <w:rsid w:val="00D53B25"/>
    <w:rsid w:val="00D608E3"/>
    <w:rsid w:val="00D627F4"/>
    <w:rsid w:val="00D64865"/>
    <w:rsid w:val="00D65BE8"/>
    <w:rsid w:val="00D70DA7"/>
    <w:rsid w:val="00D715D7"/>
    <w:rsid w:val="00D734BB"/>
    <w:rsid w:val="00D74E1D"/>
    <w:rsid w:val="00D808E8"/>
    <w:rsid w:val="00D832A8"/>
    <w:rsid w:val="00D83F3C"/>
    <w:rsid w:val="00D9155E"/>
    <w:rsid w:val="00D92280"/>
    <w:rsid w:val="00D926F7"/>
    <w:rsid w:val="00D952E5"/>
    <w:rsid w:val="00DA14A2"/>
    <w:rsid w:val="00DA3AB9"/>
    <w:rsid w:val="00DA4998"/>
    <w:rsid w:val="00DA5D2C"/>
    <w:rsid w:val="00DA688F"/>
    <w:rsid w:val="00DB0B7C"/>
    <w:rsid w:val="00DB3520"/>
    <w:rsid w:val="00DB3845"/>
    <w:rsid w:val="00DB4AE2"/>
    <w:rsid w:val="00DC2465"/>
    <w:rsid w:val="00DC4CBF"/>
    <w:rsid w:val="00DC5BF2"/>
    <w:rsid w:val="00DD383F"/>
    <w:rsid w:val="00DD3F49"/>
    <w:rsid w:val="00DD4E5C"/>
    <w:rsid w:val="00DD51D1"/>
    <w:rsid w:val="00DD6E3A"/>
    <w:rsid w:val="00DD7A2B"/>
    <w:rsid w:val="00DE079A"/>
    <w:rsid w:val="00DE08BF"/>
    <w:rsid w:val="00DE4023"/>
    <w:rsid w:val="00DE557B"/>
    <w:rsid w:val="00DE67E4"/>
    <w:rsid w:val="00DE79E0"/>
    <w:rsid w:val="00DF0B05"/>
    <w:rsid w:val="00E00A62"/>
    <w:rsid w:val="00E01831"/>
    <w:rsid w:val="00E03ECE"/>
    <w:rsid w:val="00E0424A"/>
    <w:rsid w:val="00E05796"/>
    <w:rsid w:val="00E06035"/>
    <w:rsid w:val="00E0700F"/>
    <w:rsid w:val="00E15937"/>
    <w:rsid w:val="00E17CFC"/>
    <w:rsid w:val="00E25E0F"/>
    <w:rsid w:val="00E30165"/>
    <w:rsid w:val="00E31F0A"/>
    <w:rsid w:val="00E33777"/>
    <w:rsid w:val="00E3533F"/>
    <w:rsid w:val="00E376D7"/>
    <w:rsid w:val="00E43578"/>
    <w:rsid w:val="00E460E9"/>
    <w:rsid w:val="00E4634D"/>
    <w:rsid w:val="00E46D07"/>
    <w:rsid w:val="00E479BD"/>
    <w:rsid w:val="00E5400D"/>
    <w:rsid w:val="00E55893"/>
    <w:rsid w:val="00E570E5"/>
    <w:rsid w:val="00E57FD4"/>
    <w:rsid w:val="00E63E03"/>
    <w:rsid w:val="00E6526E"/>
    <w:rsid w:val="00E67DE6"/>
    <w:rsid w:val="00E70D7E"/>
    <w:rsid w:val="00E71887"/>
    <w:rsid w:val="00E739DF"/>
    <w:rsid w:val="00E74B95"/>
    <w:rsid w:val="00E7524E"/>
    <w:rsid w:val="00E83805"/>
    <w:rsid w:val="00E86BA3"/>
    <w:rsid w:val="00E92976"/>
    <w:rsid w:val="00E93BEC"/>
    <w:rsid w:val="00E95D64"/>
    <w:rsid w:val="00EA17C7"/>
    <w:rsid w:val="00EA1AFD"/>
    <w:rsid w:val="00EB0945"/>
    <w:rsid w:val="00EB5CD5"/>
    <w:rsid w:val="00EB7FC9"/>
    <w:rsid w:val="00EC32AB"/>
    <w:rsid w:val="00EC5404"/>
    <w:rsid w:val="00ED4E3D"/>
    <w:rsid w:val="00ED5F1A"/>
    <w:rsid w:val="00EE02E6"/>
    <w:rsid w:val="00EE1D0B"/>
    <w:rsid w:val="00EE269B"/>
    <w:rsid w:val="00EF3E46"/>
    <w:rsid w:val="00EF4ACA"/>
    <w:rsid w:val="00EF6466"/>
    <w:rsid w:val="00F013E3"/>
    <w:rsid w:val="00F066C9"/>
    <w:rsid w:val="00F06826"/>
    <w:rsid w:val="00F073DA"/>
    <w:rsid w:val="00F103F3"/>
    <w:rsid w:val="00F110BF"/>
    <w:rsid w:val="00F1194F"/>
    <w:rsid w:val="00F125D3"/>
    <w:rsid w:val="00F125F8"/>
    <w:rsid w:val="00F1452E"/>
    <w:rsid w:val="00F16BD0"/>
    <w:rsid w:val="00F170AF"/>
    <w:rsid w:val="00F21C23"/>
    <w:rsid w:val="00F257C9"/>
    <w:rsid w:val="00F25A99"/>
    <w:rsid w:val="00F264E8"/>
    <w:rsid w:val="00F26704"/>
    <w:rsid w:val="00F30470"/>
    <w:rsid w:val="00F304C2"/>
    <w:rsid w:val="00F31AED"/>
    <w:rsid w:val="00F33C8B"/>
    <w:rsid w:val="00F34DB9"/>
    <w:rsid w:val="00F35C9F"/>
    <w:rsid w:val="00F371BF"/>
    <w:rsid w:val="00F4043F"/>
    <w:rsid w:val="00F42723"/>
    <w:rsid w:val="00F434A8"/>
    <w:rsid w:val="00F43888"/>
    <w:rsid w:val="00F43B3D"/>
    <w:rsid w:val="00F4427E"/>
    <w:rsid w:val="00F442E9"/>
    <w:rsid w:val="00F4739B"/>
    <w:rsid w:val="00F51353"/>
    <w:rsid w:val="00F557BA"/>
    <w:rsid w:val="00F5746F"/>
    <w:rsid w:val="00F650A3"/>
    <w:rsid w:val="00F6578A"/>
    <w:rsid w:val="00F70EFA"/>
    <w:rsid w:val="00F71457"/>
    <w:rsid w:val="00F73B4B"/>
    <w:rsid w:val="00F75857"/>
    <w:rsid w:val="00F77716"/>
    <w:rsid w:val="00F77D92"/>
    <w:rsid w:val="00F804A9"/>
    <w:rsid w:val="00F831D2"/>
    <w:rsid w:val="00F83D49"/>
    <w:rsid w:val="00F84A4A"/>
    <w:rsid w:val="00F856DA"/>
    <w:rsid w:val="00F877A1"/>
    <w:rsid w:val="00F92F96"/>
    <w:rsid w:val="00F94F07"/>
    <w:rsid w:val="00F9590C"/>
    <w:rsid w:val="00FA2204"/>
    <w:rsid w:val="00FA27BC"/>
    <w:rsid w:val="00FB57A0"/>
    <w:rsid w:val="00FC153E"/>
    <w:rsid w:val="00FC3A04"/>
    <w:rsid w:val="00FC4989"/>
    <w:rsid w:val="00FC562A"/>
    <w:rsid w:val="00FD08E3"/>
    <w:rsid w:val="00FD2C3F"/>
    <w:rsid w:val="00FD3AB6"/>
    <w:rsid w:val="00FD59FF"/>
    <w:rsid w:val="00FD7C31"/>
    <w:rsid w:val="00FE3309"/>
    <w:rsid w:val="00FE4B92"/>
    <w:rsid w:val="00FF0B53"/>
    <w:rsid w:val="00FF12B7"/>
    <w:rsid w:val="00FF1843"/>
    <w:rsid w:val="00FF3066"/>
    <w:rsid w:val="00FF6BDE"/>
    <w:rsid w:val="1DCAEF98"/>
    <w:rsid w:val="1F1976DD"/>
    <w:rsid w:val="22691087"/>
    <w:rsid w:val="266DBFCE"/>
    <w:rsid w:val="3126B36F"/>
    <w:rsid w:val="3227FAF9"/>
    <w:rsid w:val="5420005D"/>
    <w:rsid w:val="542F35B6"/>
    <w:rsid w:val="64E44D82"/>
    <w:rsid w:val="74E3335E"/>
    <w:rsid w:val="774546CE"/>
    <w:rsid w:val="7AF70C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CBF53"/>
  <w15:chartTrackingRefBased/>
  <w15:docId w15:val="{4E514081-7D5D-4F4A-8CBF-FA121F00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19142F"/>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9"/>
    <w:qFormat/>
    <w:rsid w:val="0037663D"/>
    <w:pPr>
      <w:keepNext/>
      <w:keepLines/>
      <w:numPr>
        <w:numId w:val="1"/>
      </w:numPr>
      <w:spacing w:before="240" w:after="0"/>
      <w:outlineLvl w:val="0"/>
    </w:pPr>
    <w:rPr>
      <w:rFonts w:eastAsia="Times New Roman"/>
      <w:b/>
      <w:color w:val="003087"/>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Normal"/>
    <w:next w:val="Normal"/>
    <w:link w:val="Heading4Char"/>
    <w:uiPriority w:val="9"/>
    <w:unhideWhenUsed/>
    <w:qFormat/>
    <w:rsid w:val="0037663D"/>
    <w:pPr>
      <w:widowControl w:val="0"/>
      <w:numPr>
        <w:ilvl w:val="3"/>
        <w:numId w:val="1"/>
      </w:numPr>
      <w:spacing w:before="240" w:after="0"/>
      <w:outlineLvl w:val="3"/>
    </w:pPr>
    <w:rPr>
      <w:rFonts w:eastAsia="Times New Roman"/>
      <w:lang w:eastAsia="en-AU"/>
    </w:rPr>
  </w:style>
  <w:style w:type="paragraph" w:styleId="Heading5">
    <w:name w:val="heading 5"/>
    <w:basedOn w:val="Normal"/>
    <w:next w:val="Normal"/>
    <w:link w:val="Heading5Char"/>
    <w:autoRedefine/>
    <w:uiPriority w:val="9"/>
    <w:unhideWhenUsed/>
    <w:qFormat/>
    <w:rsid w:val="00180F9C"/>
    <w:pPr>
      <w:widowControl w:val="0"/>
      <w:numPr>
        <w:ilvl w:val="4"/>
        <w:numId w:val="1"/>
      </w:numPr>
      <w:spacing w:before="40" w:after="0"/>
      <w:ind w:left="1701" w:hanging="850"/>
      <w:outlineLvl w:val="4"/>
    </w:pPr>
    <w:rPr>
      <w:rFonts w:eastAsia="Times New Roman"/>
      <w:lang w:eastAsia="en-AU"/>
    </w:rPr>
  </w:style>
  <w:style w:type="paragraph" w:styleId="Heading6">
    <w:name w:val="heading 6"/>
    <w:basedOn w:val="Normal"/>
    <w:next w:val="Normal"/>
    <w:link w:val="Heading6Char"/>
    <w:uiPriority w:val="9"/>
    <w:unhideWhenUsed/>
    <w:qFormat/>
    <w:rsid w:val="007547E8"/>
    <w:pPr>
      <w:widowControl w:val="0"/>
      <w:numPr>
        <w:ilvl w:val="5"/>
        <w:numId w:val="1"/>
      </w:numPr>
      <w:spacing w:before="40" w:after="0"/>
      <w:outlineLvl w:val="5"/>
    </w:pPr>
    <w:rPr>
      <w:rFonts w:eastAsia="Times New Roman"/>
      <w:lang w:eastAsia="en-AU"/>
    </w:rPr>
  </w:style>
  <w:style w:type="paragraph" w:styleId="Heading7">
    <w:name w:val="heading 7"/>
    <w:basedOn w:val="Normal"/>
    <w:next w:val="Normal"/>
    <w:link w:val="Heading7Char"/>
    <w:uiPriority w:val="9"/>
    <w:unhideWhenUsed/>
    <w:qFormat/>
    <w:rsid w:val="007547E8"/>
    <w:pPr>
      <w:keepNext/>
      <w:keepLines/>
      <w:numPr>
        <w:ilvl w:val="6"/>
        <w:numId w:val="1"/>
      </w:numPr>
      <w:spacing w:before="40" w:after="0"/>
      <w:outlineLvl w:val="6"/>
    </w:pPr>
    <w:rPr>
      <w:rFonts w:eastAsia="Times New Roman"/>
      <w:iCs/>
    </w:rPr>
  </w:style>
  <w:style w:type="paragraph" w:styleId="Heading8">
    <w:name w:val="heading 8"/>
    <w:basedOn w:val="Normal"/>
    <w:next w:val="Normal"/>
    <w:link w:val="Heading8Char"/>
    <w:uiPriority w:val="9"/>
    <w:semiHidden/>
    <w:unhideWhenUsed/>
    <w:qFormat/>
    <w:rsid w:val="008D615A"/>
    <w:pPr>
      <w:keepNext/>
      <w:keepLines/>
      <w:numPr>
        <w:ilvl w:val="7"/>
        <w:numId w:val="1"/>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663D"/>
    <w:rPr>
      <w:rFonts w:ascii="Century Gothic" w:eastAsia="Times New Roman" w:hAnsi="Century Gothic"/>
      <w:b/>
      <w:color w:val="003087"/>
      <w:sz w:val="32"/>
      <w:szCs w:val="32"/>
      <w:lang w:eastAsia="en-US"/>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2"/>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3"/>
      </w:numPr>
    </w:pPr>
  </w:style>
  <w:style w:type="character" w:customStyle="1" w:styleId="Style3Char">
    <w:name w:val="Style 3 Char"/>
    <w:link w:val="Style3"/>
    <w:rsid w:val="0028739C"/>
    <w:rPr>
      <w:rFonts w:ascii="Century Gothic" w:hAnsi="Century Gothic" w:cs="Arial"/>
      <w:b/>
      <w:color w:val="404040"/>
      <w:sz w:val="16"/>
      <w:szCs w:val="22"/>
      <w:lang w:val="en-US" w:eastAsia="en-US"/>
    </w:rPr>
  </w:style>
  <w:style w:type="paragraph" w:customStyle="1" w:styleId="Style4">
    <w:name w:val="Style4"/>
    <w:basedOn w:val="Style3"/>
    <w:link w:val="Style4Char"/>
    <w:rsid w:val="0028739C"/>
    <w:pPr>
      <w:numPr>
        <w:numId w:val="4"/>
      </w:numPr>
    </w:pPr>
  </w:style>
  <w:style w:type="character" w:customStyle="1" w:styleId="Style2Char">
    <w:name w:val="Style 2 Char"/>
    <w:link w:val="Style2"/>
    <w:rsid w:val="0028739C"/>
    <w:rPr>
      <w:rFonts w:ascii="Century Gothic" w:hAnsi="Century Gothic" w:cs="Arial"/>
      <w:b/>
      <w:color w:val="404040"/>
      <w:sz w:val="16"/>
      <w:szCs w:val="22"/>
      <w:lang w:val="en-US" w:eastAsia="en-US"/>
    </w:rPr>
  </w:style>
  <w:style w:type="character" w:customStyle="1" w:styleId="Heading3Char">
    <w:name w:val="Heading 3 Char"/>
    <w:link w:val="Heading3"/>
    <w:uiPriority w:val="9"/>
    <w:rsid w:val="00F4427E"/>
    <w:rPr>
      <w:rFonts w:ascii="Century Gothic" w:eastAsia="Times New Roman" w:hAnsi="Century Gothic"/>
      <w:b/>
      <w:color w:val="003087"/>
      <w:sz w:val="24"/>
      <w:szCs w:val="32"/>
    </w:rPr>
  </w:style>
  <w:style w:type="character" w:customStyle="1" w:styleId="Style4Char">
    <w:name w:val="Style4 Char"/>
    <w:link w:val="Style4"/>
    <w:rsid w:val="0028739C"/>
    <w:rPr>
      <w:rFonts w:ascii="Century Gothic" w:hAnsi="Century Gothic" w:cs="Arial"/>
      <w:b/>
      <w:color w:val="404040"/>
      <w:sz w:val="16"/>
      <w:szCs w:val="22"/>
      <w:lang w:val="en-US" w:eastAsia="en-US"/>
    </w:rPr>
  </w:style>
  <w:style w:type="character" w:customStyle="1" w:styleId="Heading2Char">
    <w:name w:val="Heading 2 Char"/>
    <w:link w:val="Heading2"/>
    <w:uiPriority w:val="9"/>
    <w:rsid w:val="001918E7"/>
    <w:rPr>
      <w:rFonts w:ascii="Century Gothic" w:eastAsia="Times New Roman" w:hAnsi="Century Gothic"/>
      <w:b/>
      <w:color w:val="003087"/>
      <w:sz w:val="28"/>
      <w:szCs w:val="32"/>
    </w:rPr>
  </w:style>
  <w:style w:type="character" w:customStyle="1" w:styleId="Heading4Char">
    <w:name w:val="Heading 4 Char"/>
    <w:link w:val="Heading4"/>
    <w:uiPriority w:val="9"/>
    <w:rsid w:val="0037663D"/>
    <w:rPr>
      <w:rFonts w:ascii="Century Gothic" w:eastAsia="Times New Roman" w:hAnsi="Century Gothic"/>
      <w:color w:val="404040"/>
      <w:sz w:val="22"/>
      <w:szCs w:val="22"/>
    </w:rPr>
  </w:style>
  <w:style w:type="character" w:customStyle="1" w:styleId="Heading5Char">
    <w:name w:val="Heading 5 Char"/>
    <w:link w:val="Heading5"/>
    <w:uiPriority w:val="9"/>
    <w:rsid w:val="00180F9C"/>
    <w:rPr>
      <w:rFonts w:ascii="Century Gothic" w:eastAsia="Times New Roman" w:hAnsi="Century Gothic"/>
      <w:color w:val="404040"/>
      <w:sz w:val="22"/>
      <w:szCs w:val="22"/>
    </w:rPr>
  </w:style>
  <w:style w:type="character" w:customStyle="1" w:styleId="Heading6Char">
    <w:name w:val="Heading 6 Char"/>
    <w:link w:val="Heading6"/>
    <w:uiPriority w:val="7"/>
    <w:rsid w:val="007547E8"/>
    <w:rPr>
      <w:rFonts w:ascii="Century Gothic" w:eastAsia="Times New Roman" w:hAnsi="Century Gothic"/>
      <w:color w:val="404040"/>
      <w:sz w:val="22"/>
      <w:szCs w:val="22"/>
    </w:rPr>
  </w:style>
  <w:style w:type="character" w:customStyle="1" w:styleId="Heading7Char">
    <w:name w:val="Heading 7 Char"/>
    <w:link w:val="Heading7"/>
    <w:uiPriority w:val="8"/>
    <w:rsid w:val="007547E8"/>
    <w:rPr>
      <w:rFonts w:ascii="Century Gothic" w:eastAsia="Times New Roman" w:hAnsi="Century Gothic"/>
      <w:iCs/>
      <w:color w:val="404040"/>
      <w:sz w:val="22"/>
      <w:szCs w:val="22"/>
      <w:lang w:eastAsia="en-US"/>
    </w:rPr>
  </w:style>
  <w:style w:type="character" w:customStyle="1" w:styleId="Heading8Char">
    <w:name w:val="Heading 8 Char"/>
    <w:link w:val="Heading8"/>
    <w:uiPriority w:val="9"/>
    <w:semiHidden/>
    <w:rsid w:val="0028739C"/>
    <w:rPr>
      <w:rFonts w:ascii="Calibri Light" w:eastAsia="Times New Roman" w:hAnsi="Calibri Light"/>
      <w:color w:val="000000"/>
      <w:sz w:val="21"/>
      <w:szCs w:val="21"/>
      <w:lang w:eastAsia="en-US"/>
    </w:rPr>
  </w:style>
  <w:style w:type="character" w:customStyle="1" w:styleId="Heading9Char">
    <w:name w:val="Heading 9 Char"/>
    <w:link w:val="Heading9"/>
    <w:uiPriority w:val="9"/>
    <w:semiHidden/>
    <w:rsid w:val="00F4427E"/>
    <w:rPr>
      <w:rFonts w:ascii="Calibri Light" w:eastAsia="Times New Roman" w:hAnsi="Calibri Light"/>
      <w:i/>
      <w:iCs/>
      <w:color w:val="000000"/>
      <w:sz w:val="21"/>
      <w:szCs w:val="21"/>
      <w:lang w:eastAsia="en-US"/>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sz w:val="22"/>
      <w:szCs w:val="22"/>
      <w:lang w:eastAsia="en-US"/>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5"/>
      </w:numPr>
      <w:contextualSpacing/>
    </w:pPr>
  </w:style>
  <w:style w:type="paragraph" w:customStyle="1" w:styleId="ListBulletTable2">
    <w:name w:val="List Bullet Table 2"/>
    <w:basedOn w:val="Normal"/>
    <w:rsid w:val="0028739C"/>
    <w:pPr>
      <w:numPr>
        <w:numId w:val="6"/>
      </w:numPr>
    </w:pPr>
    <w:rPr>
      <w:rFonts w:cs="Helvetica"/>
    </w:rPr>
  </w:style>
  <w:style w:type="character" w:customStyle="1" w:styleId="Style2Char0">
    <w:name w:val="Style2 Char"/>
    <w:link w:val="Style20"/>
    <w:rsid w:val="0028739C"/>
    <w:rPr>
      <w:rFonts w:ascii="Century Gothic" w:hAnsi="Century Gothic" w:cs="Helvetica"/>
      <w:color w:val="000000"/>
      <w:sz w:val="22"/>
      <w:szCs w:val="22"/>
      <w:lang w:eastAsia="en-US"/>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sz w:val="22"/>
      <w:szCs w:val="22"/>
      <w:lang w:eastAsia="en-US"/>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
    <w:name w:val="Clause (A)"/>
    <w:basedOn w:val="Heading4"/>
    <w:link w:val="ClauseAChar"/>
    <w:uiPriority w:val="9"/>
    <w:qFormat/>
    <w:rsid w:val="00234CB9"/>
  </w:style>
  <w:style w:type="paragraph" w:customStyle="1" w:styleId="Clause1">
    <w:name w:val="Clause (1)"/>
    <w:basedOn w:val="Heading5"/>
    <w:link w:val="Clause1Char"/>
    <w:uiPriority w:val="9"/>
    <w:qFormat/>
    <w:rsid w:val="00234CB9"/>
    <w:pPr>
      <w:ind w:left="2143" w:hanging="1008"/>
    </w:pPr>
  </w:style>
  <w:style w:type="character" w:customStyle="1" w:styleId="ClauseAChar">
    <w:name w:val="Clause (A) Char"/>
    <w:link w:val="ClauseA"/>
    <w:uiPriority w:val="9"/>
    <w:rsid w:val="00234CB9"/>
    <w:rPr>
      <w:rFonts w:ascii="Century Gothic" w:eastAsia="Times New Roman" w:hAnsi="Century Gothic"/>
      <w:color w:val="404040"/>
      <w:sz w:val="22"/>
      <w:szCs w:val="22"/>
    </w:rPr>
  </w:style>
  <w:style w:type="paragraph" w:customStyle="1" w:styleId="Clausea0">
    <w:name w:val="Clause (a)"/>
    <w:basedOn w:val="Heading6"/>
    <w:link w:val="ClauseaChar0"/>
    <w:uiPriority w:val="9"/>
    <w:qFormat/>
    <w:rsid w:val="008D2E9F"/>
  </w:style>
  <w:style w:type="character" w:customStyle="1" w:styleId="Clause1Char">
    <w:name w:val="Clause (1) Char"/>
    <w:link w:val="Clause1"/>
    <w:uiPriority w:val="9"/>
    <w:rsid w:val="00234CB9"/>
    <w:rPr>
      <w:rFonts w:ascii="Century Gothic" w:eastAsia="Times New Roman" w:hAnsi="Century Gothic"/>
      <w:color w:val="404040"/>
      <w:sz w:val="22"/>
      <w:szCs w:val="22"/>
    </w:rPr>
  </w:style>
  <w:style w:type="character" w:customStyle="1" w:styleId="ClauseaChar0">
    <w:name w:val="Clause (a) Char"/>
    <w:link w:val="Clausea0"/>
    <w:uiPriority w:val="9"/>
    <w:rsid w:val="008D2E9F"/>
    <w:rPr>
      <w:rFonts w:ascii="Century Gothic" w:eastAsia="Times New Roman" w:hAnsi="Century Gothic"/>
      <w:color w:val="404040"/>
      <w:sz w:val="22"/>
      <w:szCs w:val="22"/>
    </w:rPr>
  </w:style>
  <w:style w:type="character" w:customStyle="1" w:styleId="enumerate">
    <w:name w:val="enumerate"/>
    <w:basedOn w:val="DefaultParagraphFont"/>
    <w:rsid w:val="00133DFC"/>
  </w:style>
  <w:style w:type="paragraph" w:customStyle="1" w:styleId="mplparagraphlevel2">
    <w:name w:val="mplparagraphlevel2"/>
    <w:basedOn w:val="Normal"/>
    <w:rsid w:val="00343BE2"/>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basedOn w:val="DefaultParagraphFont"/>
    <w:uiPriority w:val="22"/>
    <w:qFormat/>
    <w:rsid w:val="00683344"/>
    <w:rPr>
      <w:b/>
      <w:bCs/>
    </w:rPr>
  </w:style>
  <w:style w:type="character" w:customStyle="1" w:styleId="ui-provider">
    <w:name w:val="ui-provider"/>
    <w:basedOn w:val="DefaultParagraphFont"/>
    <w:rsid w:val="00751030"/>
  </w:style>
  <w:style w:type="character" w:customStyle="1" w:styleId="normaltextrun">
    <w:name w:val="normaltextrun"/>
    <w:basedOn w:val="DefaultParagraphFont"/>
    <w:rsid w:val="00F103F3"/>
  </w:style>
  <w:style w:type="character" w:styleId="UnresolvedMention">
    <w:name w:val="Unresolved Mention"/>
    <w:basedOn w:val="DefaultParagraphFont"/>
    <w:uiPriority w:val="99"/>
    <w:semiHidden/>
    <w:unhideWhenUsed/>
    <w:rsid w:val="001A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52686048">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690106315">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2670951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80058983">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17066405">
      <w:bodyDiv w:val="1"/>
      <w:marLeft w:val="0"/>
      <w:marRight w:val="0"/>
      <w:marTop w:val="0"/>
      <w:marBottom w:val="0"/>
      <w:divBdr>
        <w:top w:val="none" w:sz="0" w:space="0" w:color="auto"/>
        <w:left w:val="none" w:sz="0" w:space="0" w:color="auto"/>
        <w:bottom w:val="none" w:sz="0" w:space="0" w:color="auto"/>
        <w:right w:val="none" w:sz="0" w:space="0" w:color="auto"/>
      </w:divBdr>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19310985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679651191">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23745385">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58942392">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1905945271">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E90A68367984E932455CCEA958DA0" ma:contentTypeVersion="14" ma:contentTypeDescription="Create a new document." ma:contentTypeScope="" ma:versionID="af10ba980408f6bca5d6d0d7e4e1b77d">
  <xsd:schema xmlns:xsd="http://www.w3.org/2001/XMLSchema" xmlns:xs="http://www.w3.org/2001/XMLSchema" xmlns:p="http://schemas.microsoft.com/office/2006/metadata/properties" xmlns:ns1="http://schemas.microsoft.com/sharepoint/v3" xmlns:ns2="2ebf7cce-f41a-4ab1-9592-e9e226b02566" xmlns:ns3="d60ed9fa-d7af-449f-a898-f1271e3b03a1" targetNamespace="http://schemas.microsoft.com/office/2006/metadata/properties" ma:root="true" ma:fieldsID="95ed882dadf55256fbc58a47238ea405" ns1:_="" ns2:_="" ns3:_="">
    <xsd:import namespace="http://schemas.microsoft.com/sharepoint/v3"/>
    <xsd:import namespace="2ebf7cce-f41a-4ab1-9592-e9e226b02566"/>
    <xsd:import namespace="d60ed9fa-d7af-449f-a898-f1271e3b0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f7cce-f41a-4ab1-9592-e9e226b02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ed9fa-d7af-449f-a898-f1271e3b03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5d0974-1214-4c67-a10c-fccf5a29a4df}" ma:internalName="TaxCatchAll" ma:showField="CatchAllData" ma:web="d60ed9fa-d7af-449f-a898-f1271e3b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0ed9fa-d7af-449f-a898-f1271e3b03a1" xsi:nil="true"/>
    <lcf76f155ced4ddcb4097134ff3c332f xmlns="2ebf7cce-f41a-4ab1-9592-e9e226b02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F06D6-8BEE-49B3-9299-C73F0CF7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bf7cce-f41a-4ab1-9592-e9e226b02566"/>
    <ds:schemaRef ds:uri="d60ed9fa-d7af-449f-a898-f1271e3b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EE0A1-78ED-4AAF-A82D-4696ACD39728}">
  <ds:schemaRefs>
    <ds:schemaRef ds:uri="http://schemas.openxmlformats.org/officeDocument/2006/bibliography"/>
  </ds:schemaRefs>
</ds:datastoreItem>
</file>

<file path=customXml/itemProps3.xml><?xml version="1.0" encoding="utf-8"?>
<ds:datastoreItem xmlns:ds="http://schemas.openxmlformats.org/officeDocument/2006/customXml" ds:itemID="{AFD9B227-A2DA-4899-86FD-E305D85E8650}">
  <ds:schemaRefs>
    <ds:schemaRef ds:uri="http://schemas.microsoft.com/sharepoint/v3/contenttype/forms"/>
  </ds:schemaRefs>
</ds:datastoreItem>
</file>

<file path=customXml/itemProps4.xml><?xml version="1.0" encoding="utf-8"?>
<ds:datastoreItem xmlns:ds="http://schemas.openxmlformats.org/officeDocument/2006/customXml" ds:itemID="{9584CC17-1D99-441A-A9EB-C7AA42AB8E2E}">
  <ds:schemaRefs>
    <ds:schemaRef ds:uri="http://schemas.microsoft.com/office/2006/metadata/properties"/>
    <ds:schemaRef ds:uri="http://schemas.microsoft.com/office/infopath/2007/PartnerControls"/>
    <ds:schemaRef ds:uri="http://schemas.microsoft.com/sharepoint/v3"/>
    <ds:schemaRef ds:uri="d60ed9fa-d7af-449f-a898-f1271e3b03a1"/>
    <ds:schemaRef ds:uri="2ebf7cce-f41a-4ab1-9592-e9e226b025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11184</CharactersWithSpaces>
  <SharedDoc>false</SharedDoc>
  <HLinks>
    <vt:vector size="84" baseType="variant">
      <vt:variant>
        <vt:i4>1835069</vt:i4>
      </vt:variant>
      <vt:variant>
        <vt:i4>80</vt:i4>
      </vt:variant>
      <vt:variant>
        <vt:i4>0</vt:i4>
      </vt:variant>
      <vt:variant>
        <vt:i4>5</vt:i4>
      </vt:variant>
      <vt:variant>
        <vt:lpwstr/>
      </vt:variant>
      <vt:variant>
        <vt:lpwstr>_Toc178845012</vt:lpwstr>
      </vt:variant>
      <vt:variant>
        <vt:i4>1835069</vt:i4>
      </vt:variant>
      <vt:variant>
        <vt:i4>74</vt:i4>
      </vt:variant>
      <vt:variant>
        <vt:i4>0</vt:i4>
      </vt:variant>
      <vt:variant>
        <vt:i4>5</vt:i4>
      </vt:variant>
      <vt:variant>
        <vt:lpwstr/>
      </vt:variant>
      <vt:variant>
        <vt:lpwstr>_Toc178845011</vt:lpwstr>
      </vt:variant>
      <vt:variant>
        <vt:i4>1835069</vt:i4>
      </vt:variant>
      <vt:variant>
        <vt:i4>68</vt:i4>
      </vt:variant>
      <vt:variant>
        <vt:i4>0</vt:i4>
      </vt:variant>
      <vt:variant>
        <vt:i4>5</vt:i4>
      </vt:variant>
      <vt:variant>
        <vt:lpwstr/>
      </vt:variant>
      <vt:variant>
        <vt:lpwstr>_Toc178845010</vt:lpwstr>
      </vt:variant>
      <vt:variant>
        <vt:i4>1900605</vt:i4>
      </vt:variant>
      <vt:variant>
        <vt:i4>62</vt:i4>
      </vt:variant>
      <vt:variant>
        <vt:i4>0</vt:i4>
      </vt:variant>
      <vt:variant>
        <vt:i4>5</vt:i4>
      </vt:variant>
      <vt:variant>
        <vt:lpwstr/>
      </vt:variant>
      <vt:variant>
        <vt:lpwstr>_Toc178845009</vt:lpwstr>
      </vt:variant>
      <vt:variant>
        <vt:i4>1900605</vt:i4>
      </vt:variant>
      <vt:variant>
        <vt:i4>56</vt:i4>
      </vt:variant>
      <vt:variant>
        <vt:i4>0</vt:i4>
      </vt:variant>
      <vt:variant>
        <vt:i4>5</vt:i4>
      </vt:variant>
      <vt:variant>
        <vt:lpwstr/>
      </vt:variant>
      <vt:variant>
        <vt:lpwstr>_Toc178845008</vt:lpwstr>
      </vt:variant>
      <vt:variant>
        <vt:i4>1900605</vt:i4>
      </vt:variant>
      <vt:variant>
        <vt:i4>50</vt:i4>
      </vt:variant>
      <vt:variant>
        <vt:i4>0</vt:i4>
      </vt:variant>
      <vt:variant>
        <vt:i4>5</vt:i4>
      </vt:variant>
      <vt:variant>
        <vt:lpwstr/>
      </vt:variant>
      <vt:variant>
        <vt:lpwstr>_Toc178845007</vt:lpwstr>
      </vt:variant>
      <vt:variant>
        <vt:i4>1900605</vt:i4>
      </vt:variant>
      <vt:variant>
        <vt:i4>44</vt:i4>
      </vt:variant>
      <vt:variant>
        <vt:i4>0</vt:i4>
      </vt:variant>
      <vt:variant>
        <vt:i4>5</vt:i4>
      </vt:variant>
      <vt:variant>
        <vt:lpwstr/>
      </vt:variant>
      <vt:variant>
        <vt:lpwstr>_Toc178845006</vt:lpwstr>
      </vt:variant>
      <vt:variant>
        <vt:i4>1900605</vt:i4>
      </vt:variant>
      <vt:variant>
        <vt:i4>38</vt:i4>
      </vt:variant>
      <vt:variant>
        <vt:i4>0</vt:i4>
      </vt:variant>
      <vt:variant>
        <vt:i4>5</vt:i4>
      </vt:variant>
      <vt:variant>
        <vt:lpwstr/>
      </vt:variant>
      <vt:variant>
        <vt:lpwstr>_Toc178845005</vt:lpwstr>
      </vt:variant>
      <vt:variant>
        <vt:i4>1900605</vt:i4>
      </vt:variant>
      <vt:variant>
        <vt:i4>32</vt:i4>
      </vt:variant>
      <vt:variant>
        <vt:i4>0</vt:i4>
      </vt:variant>
      <vt:variant>
        <vt:i4>5</vt:i4>
      </vt:variant>
      <vt:variant>
        <vt:lpwstr/>
      </vt:variant>
      <vt:variant>
        <vt:lpwstr>_Toc178845004</vt:lpwstr>
      </vt:variant>
      <vt:variant>
        <vt:i4>1900605</vt:i4>
      </vt:variant>
      <vt:variant>
        <vt:i4>26</vt:i4>
      </vt:variant>
      <vt:variant>
        <vt:i4>0</vt:i4>
      </vt:variant>
      <vt:variant>
        <vt:i4>5</vt:i4>
      </vt:variant>
      <vt:variant>
        <vt:lpwstr/>
      </vt:variant>
      <vt:variant>
        <vt:lpwstr>_Toc178845003</vt:lpwstr>
      </vt:variant>
      <vt:variant>
        <vt:i4>1900605</vt:i4>
      </vt:variant>
      <vt:variant>
        <vt:i4>20</vt:i4>
      </vt:variant>
      <vt:variant>
        <vt:i4>0</vt:i4>
      </vt:variant>
      <vt:variant>
        <vt:i4>5</vt:i4>
      </vt:variant>
      <vt:variant>
        <vt:lpwstr/>
      </vt:variant>
      <vt:variant>
        <vt:lpwstr>_Toc178845002</vt:lpwstr>
      </vt:variant>
      <vt:variant>
        <vt:i4>1900605</vt:i4>
      </vt:variant>
      <vt:variant>
        <vt:i4>14</vt:i4>
      </vt:variant>
      <vt:variant>
        <vt:i4>0</vt:i4>
      </vt:variant>
      <vt:variant>
        <vt:i4>5</vt:i4>
      </vt:variant>
      <vt:variant>
        <vt:lpwstr/>
      </vt:variant>
      <vt:variant>
        <vt:lpwstr>_Toc178845001</vt:lpwstr>
      </vt:variant>
      <vt:variant>
        <vt:i4>1900605</vt:i4>
      </vt:variant>
      <vt:variant>
        <vt:i4>8</vt:i4>
      </vt:variant>
      <vt:variant>
        <vt:i4>0</vt:i4>
      </vt:variant>
      <vt:variant>
        <vt:i4>5</vt:i4>
      </vt:variant>
      <vt:variant>
        <vt:lpwstr/>
      </vt:variant>
      <vt:variant>
        <vt:lpwstr>_Toc178845000</vt:lpwstr>
      </vt:variant>
      <vt:variant>
        <vt:i4>1376308</vt:i4>
      </vt:variant>
      <vt:variant>
        <vt:i4>2</vt:i4>
      </vt:variant>
      <vt:variant>
        <vt:i4>0</vt:i4>
      </vt:variant>
      <vt:variant>
        <vt:i4>5</vt:i4>
      </vt:variant>
      <vt:variant>
        <vt:lpwstr/>
      </vt:variant>
      <vt:variant>
        <vt:lpwstr>_Toc178844999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2019-05-24T14:30:00Z</cp:lastPrinted>
  <dcterms:created xsi:type="dcterms:W3CDTF">2025-01-07T01:48:00Z</dcterms:created>
  <dcterms:modified xsi:type="dcterms:W3CDTF">2025-01-07T01:48:00Z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0x010100510E90A68367984E932455CCEA958DA0</vt:lpwstr>
  </property>
  <property fmtid="{D5CDD505-2E9C-101B-9397-08002B2CF9AE}" pid="3" name="MediaServiceImageTags">
    <vt:lpwstr/>
  </property>
</Properties>
</file>